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C3" w:rsidRPr="00A94A6B" w:rsidRDefault="003329C3" w:rsidP="003329C3">
      <w:pPr>
        <w:spacing w:after="200" w:line="276" w:lineRule="auto"/>
        <w:jc w:val="center"/>
        <w:rPr>
          <w:b/>
          <w:smallCaps/>
          <w:szCs w:val="24"/>
        </w:rPr>
      </w:pPr>
      <w:r w:rsidRPr="00A94A6B">
        <w:rPr>
          <w:b/>
          <w:smallCaps/>
          <w:szCs w:val="24"/>
        </w:rPr>
        <w:t>Core Standards Certification</w:t>
      </w:r>
    </w:p>
    <w:p w:rsidR="003329C3" w:rsidRPr="00A94A6B" w:rsidRDefault="003329C3" w:rsidP="003329C3">
      <w:pPr>
        <w:spacing w:after="200" w:line="276" w:lineRule="auto"/>
        <w:rPr>
          <w:szCs w:val="24"/>
        </w:rPr>
      </w:pPr>
    </w:p>
    <w:p w:rsidR="003329C3" w:rsidRPr="00A94A6B" w:rsidRDefault="003329C3" w:rsidP="003329C3">
      <w:pPr>
        <w:spacing w:after="200" w:line="276" w:lineRule="auto"/>
        <w:rPr>
          <w:szCs w:val="24"/>
        </w:rPr>
      </w:pPr>
      <w:r w:rsidRPr="00A94A6B">
        <w:rPr>
          <w:szCs w:val="24"/>
        </w:rPr>
        <w:t xml:space="preserve">Applicant association hereby acknowledges it has carefully reviewed the National Association of REALTORS® policy on Core Standards for Associations (copy attached), and understands significant resources (both human and financial) </w:t>
      </w:r>
      <w:r w:rsidR="00292200">
        <w:rPr>
          <w:szCs w:val="24"/>
        </w:rPr>
        <w:t>will</w:t>
      </w:r>
      <w:bookmarkStart w:id="0" w:name="_GoBack"/>
      <w:bookmarkEnd w:id="0"/>
      <w:r w:rsidRPr="00A94A6B">
        <w:rPr>
          <w:szCs w:val="24"/>
        </w:rPr>
        <w:t xml:space="preserve"> be required to comply with these requirements. Applicant certifies it has the resources necessary to meet these requirements and agrees to comply with these requirements on an ongoing basis as </w:t>
      </w:r>
      <w:r>
        <w:rPr>
          <w:szCs w:val="24"/>
        </w:rPr>
        <w:t xml:space="preserve">a </w:t>
      </w:r>
      <w:r w:rsidRPr="00A94A6B">
        <w:rPr>
          <w:szCs w:val="24"/>
        </w:rPr>
        <w:t xml:space="preserve">condition of its charter with National Association of REALTORS®. </w:t>
      </w:r>
    </w:p>
    <w:p w:rsidR="003329C3" w:rsidRPr="00A94A6B" w:rsidRDefault="003329C3" w:rsidP="003329C3">
      <w:pPr>
        <w:spacing w:after="200" w:line="276" w:lineRule="auto"/>
        <w:rPr>
          <w:szCs w:val="24"/>
        </w:rPr>
      </w:pPr>
    </w:p>
    <w:p w:rsidR="003329C3" w:rsidRPr="00A94A6B" w:rsidRDefault="003329C3" w:rsidP="003329C3">
      <w:pPr>
        <w:pStyle w:val="NormalWeb"/>
      </w:pPr>
      <w:r w:rsidRPr="00A94A6B">
        <w:t xml:space="preserve">Date___________________________ </w:t>
      </w:r>
    </w:p>
    <w:p w:rsidR="003329C3" w:rsidRPr="00A94A6B" w:rsidRDefault="003329C3" w:rsidP="003329C3">
      <w:pPr>
        <w:pStyle w:val="NormalWeb"/>
        <w:jc w:val="center"/>
      </w:pPr>
      <w:r w:rsidRPr="00A94A6B">
        <w:t>By_____________________________________________________________________________</w:t>
      </w:r>
    </w:p>
    <w:p w:rsidR="003329C3" w:rsidRPr="00A94A6B" w:rsidRDefault="003329C3" w:rsidP="003329C3">
      <w:pPr>
        <w:rPr>
          <w:szCs w:val="24"/>
        </w:rPr>
      </w:pPr>
      <w:r w:rsidRPr="00A94A6B">
        <w:rPr>
          <w:szCs w:val="24"/>
        </w:rPr>
        <w:t xml:space="preserve">(Signature of President of applicant group) </w:t>
      </w:r>
    </w:p>
    <w:p w:rsidR="003329C3" w:rsidRPr="00A94A6B" w:rsidRDefault="003329C3" w:rsidP="003329C3">
      <w:pPr>
        <w:pStyle w:val="NormalWeb"/>
        <w:jc w:val="center"/>
        <w:rPr>
          <w:rFonts w:eastAsiaTheme="minorEastAsia"/>
        </w:rPr>
      </w:pPr>
      <w:r w:rsidRPr="00A94A6B">
        <w:t>________________________________________________________________________________</w:t>
      </w:r>
    </w:p>
    <w:p w:rsidR="003329C3" w:rsidRPr="00A94A6B" w:rsidRDefault="003329C3" w:rsidP="003329C3">
      <w:pPr>
        <w:rPr>
          <w:szCs w:val="24"/>
        </w:rPr>
      </w:pPr>
      <w:r w:rsidRPr="00A94A6B">
        <w:rPr>
          <w:szCs w:val="24"/>
        </w:rPr>
        <w:t xml:space="preserve">(Type or print name of President) </w:t>
      </w:r>
    </w:p>
    <w:p w:rsidR="003329C3" w:rsidRPr="00A94A6B" w:rsidRDefault="003329C3" w:rsidP="003329C3">
      <w:pPr>
        <w:pStyle w:val="NormalWeb"/>
        <w:jc w:val="center"/>
      </w:pPr>
    </w:p>
    <w:p w:rsidR="003329C3" w:rsidRPr="00A94A6B" w:rsidRDefault="003329C3" w:rsidP="003329C3">
      <w:pPr>
        <w:pStyle w:val="NormalWeb"/>
        <w:jc w:val="center"/>
      </w:pPr>
      <w:r w:rsidRPr="00A94A6B">
        <w:t>By_____________________________________________________________________________</w:t>
      </w:r>
    </w:p>
    <w:p w:rsidR="003329C3" w:rsidRPr="00A94A6B" w:rsidRDefault="003329C3" w:rsidP="003329C3">
      <w:pPr>
        <w:rPr>
          <w:szCs w:val="24"/>
        </w:rPr>
      </w:pPr>
      <w:r w:rsidRPr="00A94A6B">
        <w:rPr>
          <w:szCs w:val="24"/>
        </w:rPr>
        <w:t xml:space="preserve">(Signature of Secretary of applicant group) </w:t>
      </w:r>
    </w:p>
    <w:p w:rsidR="003329C3" w:rsidRPr="00A94A6B" w:rsidRDefault="003329C3" w:rsidP="003329C3">
      <w:pPr>
        <w:pStyle w:val="NormalWeb"/>
        <w:jc w:val="center"/>
        <w:rPr>
          <w:rFonts w:eastAsiaTheme="minorEastAsia"/>
        </w:rPr>
      </w:pPr>
      <w:r w:rsidRPr="00A94A6B">
        <w:t>________________________________________________________________________________</w:t>
      </w:r>
    </w:p>
    <w:p w:rsidR="003329C3" w:rsidRPr="00A94A6B" w:rsidRDefault="003329C3" w:rsidP="003329C3">
      <w:pPr>
        <w:rPr>
          <w:szCs w:val="24"/>
        </w:rPr>
      </w:pPr>
      <w:r w:rsidRPr="00A94A6B">
        <w:rPr>
          <w:szCs w:val="24"/>
        </w:rPr>
        <w:t xml:space="preserve">(Type or print name of Secretary) </w:t>
      </w:r>
    </w:p>
    <w:p w:rsidR="003329C3" w:rsidRPr="00A94A6B" w:rsidRDefault="003329C3" w:rsidP="003329C3">
      <w:pPr>
        <w:pStyle w:val="NormalWeb"/>
        <w:sectPr w:rsidR="003329C3" w:rsidRPr="00A94A6B" w:rsidSect="00041E47">
          <w:pgSz w:w="12240" w:h="15840"/>
          <w:pgMar w:top="1440" w:right="1440" w:bottom="1440" w:left="1170" w:header="720" w:footer="720" w:gutter="0"/>
          <w:cols w:space="720"/>
          <w:docGrid w:linePitch="360"/>
        </w:sectPr>
      </w:pPr>
    </w:p>
    <w:p w:rsidR="003329C3" w:rsidRPr="00A94A6B" w:rsidRDefault="003329C3" w:rsidP="003329C3">
      <w:pPr>
        <w:contextualSpacing/>
        <w:jc w:val="center"/>
        <w:rPr>
          <w:b/>
          <w:smallCaps/>
          <w:szCs w:val="24"/>
        </w:rPr>
      </w:pPr>
      <w:r w:rsidRPr="00A94A6B">
        <w:rPr>
          <w:b/>
          <w:smallCaps/>
          <w:szCs w:val="24"/>
        </w:rPr>
        <w:lastRenderedPageBreak/>
        <w:t>Core Standards for Associations of REALTORS®</w:t>
      </w:r>
    </w:p>
    <w:p w:rsidR="003329C3" w:rsidRPr="00A94A6B" w:rsidRDefault="003329C3" w:rsidP="003329C3">
      <w:pPr>
        <w:contextualSpacing/>
        <w:rPr>
          <w:szCs w:val="24"/>
        </w:rPr>
      </w:pPr>
    </w:p>
    <w:p w:rsidR="003329C3" w:rsidRPr="00A94A6B" w:rsidRDefault="003329C3" w:rsidP="003329C3">
      <w:pPr>
        <w:contextualSpacing/>
        <w:rPr>
          <w:szCs w:val="24"/>
        </w:rPr>
      </w:pPr>
    </w:p>
    <w:p w:rsidR="003329C3" w:rsidRPr="00A94A6B" w:rsidRDefault="003329C3" w:rsidP="003329C3">
      <w:pPr>
        <w:contextualSpacing/>
        <w:rPr>
          <w:rStyle w:val="Strong"/>
          <w:szCs w:val="24"/>
        </w:rPr>
      </w:pPr>
      <w:r w:rsidRPr="00A94A6B">
        <w:rPr>
          <w:rStyle w:val="Strong"/>
          <w:szCs w:val="24"/>
        </w:rPr>
        <w:t>I. Code of Ethics</w:t>
      </w:r>
    </w:p>
    <w:p w:rsidR="003329C3" w:rsidRPr="00A94A6B" w:rsidRDefault="003329C3" w:rsidP="003329C3">
      <w:pPr>
        <w:contextualSpacing/>
        <w:rPr>
          <w:rStyle w:val="Strong"/>
          <w:szCs w:val="24"/>
        </w:rPr>
      </w:pPr>
    </w:p>
    <w:p w:rsidR="003329C3" w:rsidRPr="00A94A6B" w:rsidRDefault="003329C3" w:rsidP="003329C3">
      <w:pPr>
        <w:contextualSpacing/>
        <w:rPr>
          <w:szCs w:val="24"/>
        </w:rPr>
      </w:pPr>
      <w:r w:rsidRPr="00A94A6B">
        <w:rPr>
          <w:szCs w:val="24"/>
        </w:rPr>
        <w:t>A.   REQUIREMENT: Every association will provide new and continuing member Code of Ethics training as required by Article IV of the NAR Bylaws.</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B.   REQUIREMENT: Every association will maintain a viable professional standards process to enforce the Code of Ethics and provide arbitration and mediation as member services. Associations must have a fully functioning professional standards committee with administrative capability to conduct the program, or must administer professional standards enforcement through a multi-</w:t>
      </w:r>
      <w:r w:rsidRPr="00A94A6B">
        <w:rPr>
          <w:szCs w:val="24"/>
        </w:rPr>
        <w:softHyphen/>
        <w:t>board (or regional) professional standards agreement with other associations or with the state association.</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C.   REQUIREMENT: Every association will provide mediation services to members as required by Article IV of the NAR Bylaws. Associations may also offer ombudsman services to members and their clients and customers and, if available in the state, may implement a “citation” enforcement policy.</w:t>
      </w:r>
    </w:p>
    <w:p w:rsidR="003329C3" w:rsidRPr="00A94A6B" w:rsidRDefault="003329C3" w:rsidP="003329C3">
      <w:pPr>
        <w:contextualSpacing/>
        <w:rPr>
          <w:szCs w:val="24"/>
        </w:rPr>
      </w:pPr>
    </w:p>
    <w:p w:rsidR="003329C3" w:rsidRPr="00A94A6B" w:rsidRDefault="003329C3" w:rsidP="003329C3">
      <w:pPr>
        <w:contextualSpacing/>
        <w:rPr>
          <w:b/>
          <w:bCs/>
          <w:szCs w:val="24"/>
        </w:rPr>
      </w:pPr>
      <w:r w:rsidRPr="00A94A6B">
        <w:rPr>
          <w:b/>
          <w:bCs/>
          <w:szCs w:val="24"/>
        </w:rPr>
        <w:t>II. Advocacy</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A.   REQUIREMENT: Unless prohibited by state law and in recognition of state law differences, each association shall include in their dues billing a voluntary contribution for the PAC or the issues Political Advocacy Fund (PAF) in an amount adequate to meet any NAR established RPAC fundraising goals. Dues billing for PAC or PAF contributions has been proven to be the most effective method for raising PAC or PAF dollars and in engaging our members in political advocacy*. A local association will have met this Mandatory Core Standard, regardless of whether they collect the full amount of their NAR established goal, if they include the voluntary contribution on their dues bill.</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Notwithstanding the above, a local association that chooses not to include a PAC or PAF contribution on their dues bills, may, in the alternative, meet this Mandatory Core Standard if they deliver to NAR the full amount of any NAR established RPAC goal contributed by whatever legal means determined to be in the best interest of the local association (i.e. ., a corporate contribution in the full amount of the NAR established goal). In whatever manner the NAR established RPAC goal is met, funds shall be sent to RPAC or the PAF individually or collectively by/through the State Association (i.e., one check concept). The intent of this standard is to provide the best opportunity for every association to meet its goal. *Unless prohibited by state law, it is recommended that to reach the highest participation levels possible, each local association include the contribution to either the PAC or the PAF “above the line” with appropriate disclaimers about the voluntary nature of the member contribution.</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B.   REQUIREMENT: Each association shall provide or distribute information and communications from NAR and the applicable state association, regarding the value of investing in and the benefits received from the individual’s participation in the PAC.</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C.   REQUIREMENT: Each association shall demonstrate participation in Calls for Action delivered through the REALTOR® Action Center (e.g., promotion through websites, newsletters, office visits, etc.). It is the state and local association’s obligation to provide adequate proof of participation. NAR shall monitor state association participation primarily through the REALTOR® Action Center Response Reports. If there are signs of insufficient participation, NAR shall investigate and encourage compliance. The state associations shall monitor local association participation primarily through the REALTOR® Action Center Response Reports. If there are signs of insufficient participation, the state association shall investigate and encourage compliance.</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D.   REQUIREMENT: Each local association shall demonstrate participation (if applicable) in State Calls for Action (e.g., promotion through websites, newsletters, office visits, etc.). It is the local association’s obligation to provide adequate proof of participation.</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 xml:space="preserve">E.   REQUIREMENT: Each association shall demonstrate advocacy engagement. For program ideas go to My REALTOR® Party Resource Guide at </w:t>
      </w:r>
      <w:hyperlink r:id="rId7" w:history="1">
        <w:r w:rsidRPr="00A94A6B">
          <w:rPr>
            <w:rStyle w:val="Hyperlink"/>
            <w:szCs w:val="24"/>
          </w:rPr>
          <w:t>www.realtoractioncenter.com/realtor-</w:t>
        </w:r>
        <w:r w:rsidRPr="00A94A6B">
          <w:rPr>
            <w:rStyle w:val="Hyperlink"/>
            <w:szCs w:val="24"/>
          </w:rPr>
          <w:softHyphen/>
          <w:t>party/documents/MRP</w:t>
        </w:r>
        <w:r w:rsidRPr="00A94A6B">
          <w:rPr>
            <w:rStyle w:val="Hyperlink"/>
            <w:rFonts w:ascii="Cambria Math" w:hAnsi="Cambria Math" w:cs="Cambria Math"/>
            <w:szCs w:val="24"/>
          </w:rPr>
          <w:t>‐</w:t>
        </w:r>
        <w:r w:rsidRPr="00A94A6B">
          <w:rPr>
            <w:rStyle w:val="Hyperlink"/>
            <w:szCs w:val="24"/>
          </w:rPr>
          <w:t>Resource-Guide.pdf</w:t>
        </w:r>
      </w:hyperlink>
      <w:r w:rsidRPr="00A94A6B">
        <w:rPr>
          <w:szCs w:val="24"/>
        </w:rPr>
        <w:t>.</w:t>
      </w:r>
    </w:p>
    <w:p w:rsidR="003329C3" w:rsidRPr="00A94A6B" w:rsidRDefault="003329C3" w:rsidP="003329C3">
      <w:pPr>
        <w:contextualSpacing/>
        <w:rPr>
          <w:szCs w:val="24"/>
        </w:rPr>
      </w:pPr>
    </w:p>
    <w:p w:rsidR="003329C3" w:rsidRPr="00A94A6B" w:rsidRDefault="003329C3" w:rsidP="003329C3">
      <w:pPr>
        <w:contextualSpacing/>
        <w:rPr>
          <w:b/>
          <w:bCs/>
          <w:szCs w:val="24"/>
        </w:rPr>
      </w:pPr>
      <w:r w:rsidRPr="00A94A6B">
        <w:rPr>
          <w:b/>
          <w:bCs/>
          <w:szCs w:val="24"/>
        </w:rPr>
        <w:t>III. Consumer Outreach</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A.   REQUIREMENT: Every Association will demonstrate engagement in not less than four meaningful consumer engagement activities annually, reflected by:</w:t>
      </w:r>
    </w:p>
    <w:p w:rsidR="003329C3" w:rsidRPr="00A94A6B" w:rsidRDefault="003329C3" w:rsidP="003329C3">
      <w:pPr>
        <w:contextualSpacing/>
        <w:rPr>
          <w:szCs w:val="24"/>
        </w:rPr>
      </w:pPr>
    </w:p>
    <w:p w:rsidR="003329C3" w:rsidRPr="00A94A6B" w:rsidRDefault="003329C3" w:rsidP="003329C3">
      <w:pPr>
        <w:ind w:left="720"/>
        <w:contextualSpacing/>
        <w:rPr>
          <w:szCs w:val="24"/>
        </w:rPr>
      </w:pPr>
      <w:r w:rsidRPr="00A94A6B">
        <w:rPr>
          <w:szCs w:val="24"/>
        </w:rPr>
        <w:t>Being the “Voice for Real Estate” -</w:t>
      </w:r>
      <w:r w:rsidRPr="00A94A6B">
        <w:rPr>
          <w:szCs w:val="24"/>
        </w:rPr>
        <w:softHyphen/>
      </w:r>
      <w:r w:rsidRPr="00A94A6B">
        <w:rPr>
          <w:rFonts w:ascii="Cambria Math" w:hAnsi="Cambria Math" w:cs="Cambria Math"/>
          <w:szCs w:val="24"/>
        </w:rPr>
        <w:t>‐</w:t>
      </w:r>
      <w:r w:rsidRPr="00A94A6B">
        <w:rPr>
          <w:szCs w:val="24"/>
        </w:rPr>
        <w:t xml:space="preserve"> promoting market statistics and/or real estate trends and issues (e.g., release through press releases, interviews, etc. of MLS statistics, local market statistics, NAR research reports, local/state analysis of NAR statistics, etc.)</w:t>
      </w:r>
    </w:p>
    <w:p w:rsidR="003329C3" w:rsidRPr="00A94A6B" w:rsidRDefault="003329C3" w:rsidP="003329C3">
      <w:pPr>
        <w:ind w:left="720"/>
        <w:contextualSpacing/>
        <w:rPr>
          <w:szCs w:val="24"/>
        </w:rPr>
      </w:pPr>
    </w:p>
    <w:p w:rsidR="003329C3" w:rsidRPr="00A94A6B" w:rsidRDefault="003329C3" w:rsidP="003329C3">
      <w:pPr>
        <w:ind w:left="720"/>
        <w:contextualSpacing/>
        <w:rPr>
          <w:szCs w:val="24"/>
        </w:rPr>
      </w:pPr>
      <w:r w:rsidRPr="00A94A6B">
        <w:rPr>
          <w:szCs w:val="24"/>
        </w:rPr>
        <w:t>Community involvement -</w:t>
      </w:r>
      <w:r w:rsidRPr="00A94A6B">
        <w:rPr>
          <w:szCs w:val="24"/>
        </w:rPr>
        <w:softHyphen/>
      </w:r>
      <w:r w:rsidRPr="00A94A6B">
        <w:rPr>
          <w:rFonts w:ascii="Cambria Math" w:hAnsi="Cambria Math" w:cs="Cambria Math"/>
          <w:szCs w:val="24"/>
        </w:rPr>
        <w:t>‐</w:t>
      </w:r>
      <w:r w:rsidRPr="00A94A6B">
        <w:rPr>
          <w:szCs w:val="24"/>
        </w:rPr>
        <w:t xml:space="preserve"> promoting the value proposition of using a REALTOR® and/or engaging in community activities which enhance the image of the REALTOR®;</w:t>
      </w:r>
    </w:p>
    <w:p w:rsidR="003329C3" w:rsidRPr="00A94A6B" w:rsidRDefault="003329C3" w:rsidP="003329C3">
      <w:pPr>
        <w:ind w:left="720"/>
        <w:contextualSpacing/>
        <w:rPr>
          <w:szCs w:val="24"/>
        </w:rPr>
      </w:pPr>
    </w:p>
    <w:p w:rsidR="003329C3" w:rsidRPr="00A94A6B" w:rsidRDefault="003329C3" w:rsidP="003329C3">
      <w:pPr>
        <w:ind w:left="720"/>
        <w:contextualSpacing/>
        <w:rPr>
          <w:szCs w:val="24"/>
        </w:rPr>
      </w:pPr>
      <w:r w:rsidRPr="00A94A6B">
        <w:rPr>
          <w:szCs w:val="24"/>
        </w:rPr>
        <w:t>Advocacy efforts -</w:t>
      </w:r>
      <w:r w:rsidRPr="00A94A6B">
        <w:rPr>
          <w:szCs w:val="24"/>
        </w:rPr>
        <w:softHyphen/>
      </w:r>
      <w:r w:rsidRPr="00A94A6B">
        <w:rPr>
          <w:rFonts w:ascii="Cambria Math" w:hAnsi="Cambria Math" w:cs="Cambria Math"/>
          <w:szCs w:val="24"/>
        </w:rPr>
        <w:t>‐</w:t>
      </w:r>
      <w:r w:rsidRPr="00A94A6B">
        <w:rPr>
          <w:szCs w:val="24"/>
        </w:rPr>
        <w:t xml:space="preserve"> engaging the public in legislative/political issues that impact real estate and related issues; and</w:t>
      </w:r>
    </w:p>
    <w:p w:rsidR="003329C3" w:rsidRPr="00A94A6B" w:rsidRDefault="003329C3" w:rsidP="003329C3">
      <w:pPr>
        <w:ind w:left="720"/>
        <w:contextualSpacing/>
        <w:rPr>
          <w:szCs w:val="24"/>
        </w:rPr>
      </w:pPr>
    </w:p>
    <w:p w:rsidR="003329C3" w:rsidRPr="00A94A6B" w:rsidRDefault="003329C3" w:rsidP="003329C3">
      <w:pPr>
        <w:ind w:left="720"/>
        <w:contextualSpacing/>
        <w:rPr>
          <w:szCs w:val="24"/>
        </w:rPr>
      </w:pPr>
      <w:r w:rsidRPr="00A94A6B">
        <w:rPr>
          <w:szCs w:val="24"/>
        </w:rPr>
        <w:t>Community investment – Organizing human resources (i.e., assisting in a Habitat for Humanity build, etc.) or fundraising for the benefit of charitable/community organizations.</w:t>
      </w:r>
    </w:p>
    <w:p w:rsidR="003329C3" w:rsidRPr="00A94A6B" w:rsidRDefault="003329C3" w:rsidP="003329C3">
      <w:pPr>
        <w:ind w:left="720"/>
        <w:contextualSpacing/>
        <w:rPr>
          <w:szCs w:val="24"/>
        </w:rPr>
      </w:pPr>
    </w:p>
    <w:p w:rsidR="003329C3" w:rsidRPr="00A94A6B" w:rsidRDefault="003329C3" w:rsidP="003329C3">
      <w:pPr>
        <w:contextualSpacing/>
        <w:rPr>
          <w:szCs w:val="24"/>
        </w:rPr>
      </w:pPr>
      <w:r w:rsidRPr="00A94A6B">
        <w:rPr>
          <w:szCs w:val="24"/>
        </w:rPr>
        <w:t>To meet this four</w:t>
      </w:r>
      <w:r w:rsidRPr="00A94A6B">
        <w:rPr>
          <w:rFonts w:ascii="Cambria Math" w:hAnsi="Cambria Math" w:cs="Cambria Math"/>
          <w:szCs w:val="24"/>
        </w:rPr>
        <w:t>‐</w:t>
      </w:r>
      <w:r w:rsidRPr="00A94A6B">
        <w:rPr>
          <w:szCs w:val="24"/>
        </w:rPr>
        <w:t xml:space="preserve">activity per year requirement, each association must execute from some combination of at least 3 of the 4 listed engagement activities during the year. It will not be enough, for example, for an association to engage in the same activity 4 times each year nor will financial support of a charitable organization alone </w:t>
      </w:r>
      <w:proofErr w:type="gramStart"/>
      <w:r w:rsidRPr="00A94A6B">
        <w:rPr>
          <w:szCs w:val="24"/>
        </w:rPr>
        <w:t>be</w:t>
      </w:r>
      <w:proofErr w:type="gramEnd"/>
      <w:r w:rsidRPr="00A94A6B">
        <w:rPr>
          <w:szCs w:val="24"/>
        </w:rPr>
        <w:t xml:space="preserve"> considered to have met this Mandatory Core Standard. </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 xml:space="preserve">Additionally, any one activity can only be quantified in one category. Example: Assume Association A releases quarterly market statistics to the media satisfying (1) above. Association </w:t>
      </w:r>
      <w:r w:rsidRPr="00A94A6B">
        <w:rPr>
          <w:szCs w:val="24"/>
        </w:rPr>
        <w:lastRenderedPageBreak/>
        <w:t>A must also engage in some combination of the other listed activities as follows: a community involvement activity (2) and an advocacy effort (3); or a community involvement activity (2) and a community investment activity (4); or an advocacy effort (3) and a community investment activity.</w:t>
      </w:r>
    </w:p>
    <w:p w:rsidR="003329C3" w:rsidRPr="00A94A6B" w:rsidRDefault="003329C3" w:rsidP="003329C3">
      <w:pPr>
        <w:contextualSpacing/>
        <w:rPr>
          <w:szCs w:val="24"/>
        </w:rPr>
      </w:pPr>
    </w:p>
    <w:p w:rsidR="003329C3" w:rsidRPr="00A94A6B" w:rsidRDefault="003329C3" w:rsidP="003329C3">
      <w:pPr>
        <w:contextualSpacing/>
        <w:rPr>
          <w:b/>
          <w:bCs/>
          <w:szCs w:val="24"/>
        </w:rPr>
      </w:pPr>
      <w:r w:rsidRPr="00A94A6B">
        <w:rPr>
          <w:b/>
          <w:bCs/>
          <w:szCs w:val="24"/>
        </w:rPr>
        <w:t>IV. Unification Efforts and Support of the REALTOR® Organization</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A.   REQUIREMENT: Every association will maintain, have access to or will have legal counsel available.</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B.   REQUIREMENT: Associations shall adopt and maintain corporate documents, policies and procedures that conform to local, state and federal laws. Associations will timely file legally required reports and documents (e.g., corporate renewal documents, state and federal tax returns, etc.).</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C.   REQUIREMENT: Every association shall have and annually adopt a business or strategic plan including an advocacy component. If, for example, an association develops a three year strategic plan, that plan must be adopted and the adoption reported annually.</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D.   REQUIREMENT: Local and state association chief staff must complete at least six hours of REALTOR® association professional development on an annual basis. (i.e., state, regional or national).</w:t>
      </w:r>
    </w:p>
    <w:p w:rsidR="003329C3" w:rsidRPr="00A94A6B" w:rsidRDefault="003329C3" w:rsidP="003329C3">
      <w:pPr>
        <w:contextualSpacing/>
        <w:rPr>
          <w:szCs w:val="24"/>
        </w:rPr>
      </w:pPr>
    </w:p>
    <w:p w:rsidR="003329C3" w:rsidRPr="00A94A6B" w:rsidRDefault="003329C3" w:rsidP="003329C3">
      <w:pPr>
        <w:contextualSpacing/>
        <w:rPr>
          <w:b/>
          <w:bCs/>
          <w:szCs w:val="24"/>
        </w:rPr>
      </w:pPr>
      <w:r w:rsidRPr="00A94A6B">
        <w:rPr>
          <w:b/>
          <w:bCs/>
          <w:szCs w:val="24"/>
        </w:rPr>
        <w:t>V. Technology</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A.   REQUIREMENT: Every association must have an interactive website (defined as the ability to move between websites and create active links), post access to professional standards and arbitration filing processes on the website and create a link to the websites of the other levels of the association for promotion of member programs, products and services.</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B.   REQUIREMENT: Every association must utilize an email and/or internet based means for member communication.</w:t>
      </w:r>
    </w:p>
    <w:p w:rsidR="003329C3" w:rsidRPr="00A94A6B" w:rsidRDefault="003329C3" w:rsidP="003329C3">
      <w:pPr>
        <w:contextualSpacing/>
        <w:rPr>
          <w:szCs w:val="24"/>
        </w:rPr>
      </w:pPr>
    </w:p>
    <w:p w:rsidR="003329C3" w:rsidRPr="00A94A6B" w:rsidRDefault="003329C3" w:rsidP="003329C3">
      <w:pPr>
        <w:contextualSpacing/>
        <w:rPr>
          <w:b/>
          <w:bCs/>
          <w:szCs w:val="24"/>
        </w:rPr>
      </w:pPr>
      <w:r w:rsidRPr="00A94A6B">
        <w:rPr>
          <w:b/>
          <w:bCs/>
          <w:szCs w:val="24"/>
        </w:rPr>
        <w:t>VI. Financial Solvency</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A.   REQUIREMENT: Every association must adopt policies to ensure the fiscal integrity of their financial operations.</w:t>
      </w:r>
    </w:p>
    <w:p w:rsidR="003329C3" w:rsidRPr="00A94A6B" w:rsidRDefault="003329C3" w:rsidP="003329C3">
      <w:pPr>
        <w:contextualSpacing/>
        <w:rPr>
          <w:szCs w:val="24"/>
        </w:rPr>
      </w:pPr>
    </w:p>
    <w:p w:rsidR="003329C3" w:rsidRPr="00A94A6B" w:rsidRDefault="003329C3" w:rsidP="003329C3">
      <w:pPr>
        <w:contextualSpacing/>
        <w:rPr>
          <w:szCs w:val="24"/>
        </w:rPr>
      </w:pPr>
      <w:r w:rsidRPr="00A94A6B">
        <w:rPr>
          <w:szCs w:val="24"/>
        </w:rPr>
        <w:t>B.   REQUIREMENT: All associations, state or local, with revenue of $50,000 or more must submit a report from a CPA which includes either an audit opinion or an accountant’s review report on an annual basis. For those associations with revenues less than $50,000 annually, a compilation report prepared by a CPA will be acceptable. These thresholds apply to all associations whether tax exempt or for profit. It will be left to the discretion of each association as to the frequency of an audit versus a review, recognizing that the costs of each type of engagement vary greatly.</w:t>
      </w:r>
    </w:p>
    <w:p w:rsidR="001D060A" w:rsidRDefault="001D060A"/>
    <w:sectPr w:rsidR="001D0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C3" w:rsidRDefault="003329C3" w:rsidP="003329C3">
      <w:r>
        <w:separator/>
      </w:r>
    </w:p>
  </w:endnote>
  <w:endnote w:type="continuationSeparator" w:id="0">
    <w:p w:rsidR="003329C3" w:rsidRDefault="003329C3" w:rsidP="0033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C3" w:rsidRDefault="003329C3" w:rsidP="003329C3">
      <w:r>
        <w:separator/>
      </w:r>
    </w:p>
  </w:footnote>
  <w:footnote w:type="continuationSeparator" w:id="0">
    <w:p w:rsidR="003329C3" w:rsidRDefault="003329C3" w:rsidP="00332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C3"/>
    <w:rsid w:val="001D060A"/>
    <w:rsid w:val="00292200"/>
    <w:rsid w:val="0033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29C3"/>
    <w:pPr>
      <w:spacing w:before="100" w:beforeAutospacing="1" w:after="100" w:afterAutospacing="1"/>
    </w:pPr>
    <w:rPr>
      <w:szCs w:val="24"/>
    </w:rPr>
  </w:style>
  <w:style w:type="paragraph" w:styleId="Header">
    <w:name w:val="header"/>
    <w:basedOn w:val="Normal"/>
    <w:link w:val="HeaderChar"/>
    <w:uiPriority w:val="99"/>
    <w:unhideWhenUsed/>
    <w:rsid w:val="003329C3"/>
    <w:pPr>
      <w:tabs>
        <w:tab w:val="center" w:pos="4680"/>
        <w:tab w:val="right" w:pos="9360"/>
      </w:tabs>
    </w:pPr>
  </w:style>
  <w:style w:type="character" w:customStyle="1" w:styleId="HeaderChar">
    <w:name w:val="Header Char"/>
    <w:basedOn w:val="DefaultParagraphFont"/>
    <w:link w:val="Header"/>
    <w:uiPriority w:val="99"/>
    <w:rsid w:val="003329C3"/>
    <w:rPr>
      <w:rFonts w:ascii="Times New Roman" w:eastAsia="Times New Roman" w:hAnsi="Times New Roman" w:cs="Times New Roman"/>
      <w:sz w:val="24"/>
      <w:szCs w:val="20"/>
    </w:rPr>
  </w:style>
  <w:style w:type="character" w:styleId="Strong">
    <w:name w:val="Strong"/>
    <w:basedOn w:val="DefaultParagraphFont"/>
    <w:uiPriority w:val="22"/>
    <w:qFormat/>
    <w:rsid w:val="003329C3"/>
    <w:rPr>
      <w:b/>
      <w:bCs/>
    </w:rPr>
  </w:style>
  <w:style w:type="character" w:styleId="Hyperlink">
    <w:name w:val="Hyperlink"/>
    <w:basedOn w:val="DefaultParagraphFont"/>
    <w:uiPriority w:val="99"/>
    <w:unhideWhenUsed/>
    <w:rsid w:val="003329C3"/>
    <w:rPr>
      <w:color w:val="0000FF"/>
      <w:u w:val="single"/>
    </w:rPr>
  </w:style>
  <w:style w:type="paragraph" w:styleId="Footer">
    <w:name w:val="footer"/>
    <w:basedOn w:val="Normal"/>
    <w:link w:val="FooterChar"/>
    <w:uiPriority w:val="99"/>
    <w:unhideWhenUsed/>
    <w:rsid w:val="003329C3"/>
    <w:pPr>
      <w:tabs>
        <w:tab w:val="center" w:pos="4680"/>
        <w:tab w:val="right" w:pos="9360"/>
      </w:tabs>
    </w:pPr>
  </w:style>
  <w:style w:type="character" w:customStyle="1" w:styleId="FooterChar">
    <w:name w:val="Footer Char"/>
    <w:basedOn w:val="DefaultParagraphFont"/>
    <w:link w:val="Footer"/>
    <w:uiPriority w:val="99"/>
    <w:rsid w:val="003329C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29C3"/>
    <w:pPr>
      <w:spacing w:before="100" w:beforeAutospacing="1" w:after="100" w:afterAutospacing="1"/>
    </w:pPr>
    <w:rPr>
      <w:szCs w:val="24"/>
    </w:rPr>
  </w:style>
  <w:style w:type="paragraph" w:styleId="Header">
    <w:name w:val="header"/>
    <w:basedOn w:val="Normal"/>
    <w:link w:val="HeaderChar"/>
    <w:uiPriority w:val="99"/>
    <w:unhideWhenUsed/>
    <w:rsid w:val="003329C3"/>
    <w:pPr>
      <w:tabs>
        <w:tab w:val="center" w:pos="4680"/>
        <w:tab w:val="right" w:pos="9360"/>
      </w:tabs>
    </w:pPr>
  </w:style>
  <w:style w:type="character" w:customStyle="1" w:styleId="HeaderChar">
    <w:name w:val="Header Char"/>
    <w:basedOn w:val="DefaultParagraphFont"/>
    <w:link w:val="Header"/>
    <w:uiPriority w:val="99"/>
    <w:rsid w:val="003329C3"/>
    <w:rPr>
      <w:rFonts w:ascii="Times New Roman" w:eastAsia="Times New Roman" w:hAnsi="Times New Roman" w:cs="Times New Roman"/>
      <w:sz w:val="24"/>
      <w:szCs w:val="20"/>
    </w:rPr>
  </w:style>
  <w:style w:type="character" w:styleId="Strong">
    <w:name w:val="Strong"/>
    <w:basedOn w:val="DefaultParagraphFont"/>
    <w:uiPriority w:val="22"/>
    <w:qFormat/>
    <w:rsid w:val="003329C3"/>
    <w:rPr>
      <w:b/>
      <w:bCs/>
    </w:rPr>
  </w:style>
  <w:style w:type="character" w:styleId="Hyperlink">
    <w:name w:val="Hyperlink"/>
    <w:basedOn w:val="DefaultParagraphFont"/>
    <w:uiPriority w:val="99"/>
    <w:unhideWhenUsed/>
    <w:rsid w:val="003329C3"/>
    <w:rPr>
      <w:color w:val="0000FF"/>
      <w:u w:val="single"/>
    </w:rPr>
  </w:style>
  <w:style w:type="paragraph" w:styleId="Footer">
    <w:name w:val="footer"/>
    <w:basedOn w:val="Normal"/>
    <w:link w:val="FooterChar"/>
    <w:uiPriority w:val="99"/>
    <w:unhideWhenUsed/>
    <w:rsid w:val="003329C3"/>
    <w:pPr>
      <w:tabs>
        <w:tab w:val="center" w:pos="4680"/>
        <w:tab w:val="right" w:pos="9360"/>
      </w:tabs>
    </w:pPr>
  </w:style>
  <w:style w:type="character" w:customStyle="1" w:styleId="FooterChar">
    <w:name w:val="Footer Char"/>
    <w:basedOn w:val="DefaultParagraphFont"/>
    <w:link w:val="Footer"/>
    <w:uiPriority w:val="99"/>
    <w:rsid w:val="003329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toractioncenter.com/realtor-party/documents/MRP&#8208;Resource-Guid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Hunter</dc:creator>
  <cp:lastModifiedBy>Kevin Milligan</cp:lastModifiedBy>
  <cp:revision>2</cp:revision>
  <dcterms:created xsi:type="dcterms:W3CDTF">2015-03-17T19:35:00Z</dcterms:created>
  <dcterms:modified xsi:type="dcterms:W3CDTF">2015-04-16T14:30:00Z</dcterms:modified>
</cp:coreProperties>
</file>