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5234" w14:textId="77777777" w:rsidR="00036B81" w:rsidRDefault="00036B81" w:rsidP="00036B81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036B81" w14:paraId="4BE8BDE4" w14:textId="77777777" w:rsidTr="00DD7893">
        <w:trPr>
          <w:trHeight w:val="1460"/>
        </w:trPr>
        <w:tc>
          <w:tcPr>
            <w:tcW w:w="6022" w:type="dxa"/>
          </w:tcPr>
          <w:p w14:paraId="62BF3C73" w14:textId="77777777" w:rsidR="00036B81" w:rsidRDefault="00036B81" w:rsidP="00DD7893">
            <w:pPr>
              <w:pStyle w:val="Header"/>
              <w:rPr>
                <w:sz w:val="20"/>
              </w:rPr>
            </w:pPr>
          </w:p>
          <w:p w14:paraId="5D7F0462" w14:textId="20F91B6C" w:rsidR="00036B81" w:rsidRDefault="0013306E" w:rsidP="00DD7893">
            <w:pPr>
              <w:pStyle w:val="Header"/>
              <w:rPr>
                <w:sz w:val="20"/>
              </w:rPr>
            </w:pPr>
            <w:r w:rsidRPr="0013306E">
              <w:rPr>
                <w:noProof/>
                <w:sz w:val="20"/>
                <w:highlight w:val="yellow"/>
              </w:rPr>
              <w:t>[Assocation Logo]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3428" w:type="dxa"/>
          </w:tcPr>
          <w:p w14:paraId="6CD80010" w14:textId="77777777" w:rsidR="00036B81" w:rsidRDefault="00036B81" w:rsidP="00DD7893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35874532" w14:textId="77777777" w:rsidR="00036B81" w:rsidRDefault="00036B81" w:rsidP="00DD7893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217671D9" w14:textId="77777777" w:rsidR="00036B81" w:rsidRDefault="00036B81" w:rsidP="00DD7893">
            <w:pPr>
              <w:rPr>
                <w:sz w:val="20"/>
              </w:rPr>
            </w:pPr>
          </w:p>
          <w:p w14:paraId="57FA4DC6" w14:textId="77777777" w:rsidR="00036B81" w:rsidRDefault="00036B81" w:rsidP="00DD7893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38868AC2" w14:textId="4695654D" w:rsidR="00036B81" w:rsidRDefault="006968D1" w:rsidP="00DD7893">
            <w:pPr>
              <w:rPr>
                <w:sz w:val="20"/>
              </w:rPr>
            </w:pPr>
            <w:r w:rsidRPr="006968D1">
              <w:rPr>
                <w:sz w:val="20"/>
                <w:highlight w:val="yellow"/>
              </w:rPr>
              <w:t>[Name]</w:t>
            </w:r>
            <w:r w:rsidR="00036B81">
              <w:rPr>
                <w:sz w:val="20"/>
              </w:rPr>
              <w:t xml:space="preserve">, </w:t>
            </w:r>
            <w:r w:rsidRPr="0013306E">
              <w:rPr>
                <w:sz w:val="20"/>
                <w:highlight w:val="yellow"/>
              </w:rPr>
              <w:t>[Phone Number]</w:t>
            </w:r>
            <w:r>
              <w:rPr>
                <w:sz w:val="20"/>
              </w:rPr>
              <w:t xml:space="preserve"> </w:t>
            </w:r>
          </w:p>
          <w:p w14:paraId="40629287" w14:textId="77F13929" w:rsidR="006968D1" w:rsidRPr="00FE708D" w:rsidRDefault="006968D1" w:rsidP="00DD7893">
            <w:pPr>
              <w:rPr>
                <w:sz w:val="20"/>
              </w:rPr>
            </w:pPr>
            <w:r w:rsidRPr="0013306E">
              <w:rPr>
                <w:sz w:val="20"/>
                <w:highlight w:val="yellow"/>
              </w:rPr>
              <w:t>[Email]</w:t>
            </w:r>
          </w:p>
          <w:p w14:paraId="5D02B50E" w14:textId="77777777" w:rsidR="00036B81" w:rsidRDefault="00036B81" w:rsidP="006968D1">
            <w:pPr>
              <w:tabs>
                <w:tab w:val="left" w:pos="2130"/>
              </w:tabs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6C1A3886" w14:textId="77777777" w:rsidR="003B29A8" w:rsidRDefault="006968D1" w:rsidP="00557B7D">
      <w:pPr>
        <w:spacing w:line="360" w:lineRule="auto"/>
        <w:ind w:firstLine="720"/>
        <w:rPr>
          <w:b/>
          <w:bCs/>
          <w:sz w:val="28"/>
          <w:szCs w:val="28"/>
        </w:rPr>
      </w:pPr>
      <w:bookmarkStart w:id="0" w:name="_8wrydp4ng3w9" w:colFirst="0" w:colLast="0"/>
      <w:bookmarkEnd w:id="0"/>
      <w:r w:rsidRPr="009A18D1">
        <w:rPr>
          <w:b/>
          <w:bCs/>
          <w:sz w:val="28"/>
          <w:szCs w:val="28"/>
          <w:highlight w:val="yellow"/>
        </w:rPr>
        <w:t>[NAME OF ASSOCIATION</w:t>
      </w:r>
      <w:r w:rsidRPr="009A18D1">
        <w:rPr>
          <w:b/>
          <w:bCs/>
          <w:sz w:val="28"/>
          <w:szCs w:val="28"/>
        </w:rPr>
        <w:t>] Reminds Members and Consumers of NAR Practice Change Implementation on August 17, 2024</w:t>
      </w:r>
    </w:p>
    <w:p w14:paraId="02FA42F3" w14:textId="526B33B6" w:rsidR="0089407B" w:rsidRDefault="009A18D1" w:rsidP="00381DF2">
      <w:pPr>
        <w:spacing w:line="360" w:lineRule="auto"/>
        <w:ind w:firstLine="720"/>
        <w:rPr>
          <w:snapToGrid w:val="0"/>
          <w:sz w:val="22"/>
          <w:szCs w:val="22"/>
        </w:rPr>
      </w:pPr>
      <w:r w:rsidRPr="009A18D1">
        <w:rPr>
          <w:snapToGrid w:val="0"/>
          <w:sz w:val="22"/>
          <w:szCs w:val="22"/>
          <w:highlight w:val="yellow"/>
        </w:rPr>
        <w:t>[LOCATION]</w:t>
      </w:r>
      <w:r w:rsidRPr="009A18D1">
        <w:rPr>
          <w:snapToGrid w:val="0"/>
          <w:sz w:val="22"/>
          <w:szCs w:val="22"/>
        </w:rPr>
        <w:t xml:space="preserve"> </w:t>
      </w:r>
      <w:r w:rsidRPr="009A18D1">
        <w:rPr>
          <w:snapToGrid w:val="0"/>
          <w:sz w:val="22"/>
          <w:szCs w:val="22"/>
          <w:highlight w:val="yellow"/>
        </w:rPr>
        <w:t>([DATE]</w:t>
      </w:r>
      <w:r w:rsidRPr="009A18D1">
        <w:rPr>
          <w:snapToGrid w:val="0"/>
          <w:sz w:val="22"/>
          <w:szCs w:val="22"/>
        </w:rPr>
        <w:t xml:space="preserve">, 2024) – </w:t>
      </w:r>
      <w:r w:rsidRPr="009A18D1">
        <w:rPr>
          <w:snapToGrid w:val="0"/>
          <w:sz w:val="22"/>
          <w:szCs w:val="22"/>
          <w:highlight w:val="yellow"/>
        </w:rPr>
        <w:t>[NAME OF ASSOCIATION]</w:t>
      </w:r>
      <w:r w:rsidRPr="009A18D1">
        <w:rPr>
          <w:snapToGrid w:val="0"/>
          <w:sz w:val="22"/>
          <w:szCs w:val="22"/>
        </w:rPr>
        <w:t xml:space="preserve"> </w:t>
      </w:r>
      <w:proofErr w:type="gramStart"/>
      <w:r w:rsidRPr="009A18D1">
        <w:rPr>
          <w:snapToGrid w:val="0"/>
          <w:sz w:val="22"/>
          <w:szCs w:val="22"/>
        </w:rPr>
        <w:t>reminds</w:t>
      </w:r>
      <w:proofErr w:type="gramEnd"/>
      <w:r w:rsidRPr="009A18D1">
        <w:rPr>
          <w:snapToGrid w:val="0"/>
          <w:sz w:val="22"/>
          <w:szCs w:val="22"/>
        </w:rPr>
        <w:t xml:space="preserve"> members, real estate professionals and consumers that on August 17, 2024 the practice changes following NAR’s </w:t>
      </w:r>
      <w:r w:rsidR="000B5495" w:rsidRPr="003036F8">
        <w:rPr>
          <w:snapToGrid w:val="0"/>
          <w:sz w:val="22"/>
          <w:szCs w:val="22"/>
        </w:rPr>
        <w:t>Settlement Agreement</w:t>
      </w:r>
      <w:r w:rsidR="000B5495">
        <w:rPr>
          <w:snapToGrid w:val="0"/>
          <w:sz w:val="22"/>
          <w:szCs w:val="22"/>
        </w:rPr>
        <w:t xml:space="preserve"> </w:t>
      </w:r>
      <w:r w:rsidRPr="009A18D1">
        <w:rPr>
          <w:snapToGrid w:val="0"/>
          <w:sz w:val="22"/>
          <w:szCs w:val="22"/>
        </w:rPr>
        <w:t xml:space="preserve">that would resolve claims brought on behalf of home sellers related to broker commissions will be implemented across the country. </w:t>
      </w:r>
    </w:p>
    <w:p w14:paraId="2A380479" w14:textId="1983CD5F" w:rsidR="009A18D1" w:rsidRPr="009A18D1" w:rsidRDefault="00130237" w:rsidP="00381DF2">
      <w:pPr>
        <w:spacing w:line="360" w:lineRule="auto"/>
        <w:ind w:firstLine="720"/>
        <w:rPr>
          <w:snapToGrid w:val="0"/>
          <w:sz w:val="22"/>
          <w:szCs w:val="22"/>
        </w:rPr>
      </w:pPr>
      <w:r w:rsidRPr="009A18D1">
        <w:rPr>
          <w:snapToGrid w:val="0"/>
          <w:sz w:val="22"/>
          <w:szCs w:val="22"/>
        </w:rPr>
        <w:t>R</w:t>
      </w:r>
      <w:r>
        <w:rPr>
          <w:snapToGrid w:val="0"/>
          <w:sz w:val="22"/>
          <w:szCs w:val="22"/>
        </w:rPr>
        <w:t>ealtor</w:t>
      </w:r>
      <w:r w:rsidR="009A18D1" w:rsidRPr="001D20A1">
        <w:rPr>
          <w:snapToGrid w:val="0"/>
          <w:sz w:val="22"/>
          <w:szCs w:val="22"/>
          <w:vertAlign w:val="superscript"/>
        </w:rPr>
        <w:t>®</w:t>
      </w:r>
      <w:r w:rsidR="009A18D1" w:rsidRPr="009A18D1">
        <w:rPr>
          <w:snapToGrid w:val="0"/>
          <w:sz w:val="22"/>
          <w:szCs w:val="22"/>
        </w:rPr>
        <w:t xml:space="preserve"> MLSs (those owned exclusively by one or more </w:t>
      </w:r>
      <w:r w:rsidRPr="009A18D1">
        <w:rPr>
          <w:snapToGrid w:val="0"/>
          <w:sz w:val="22"/>
          <w:szCs w:val="22"/>
        </w:rPr>
        <w:t>R</w:t>
      </w:r>
      <w:r>
        <w:rPr>
          <w:snapToGrid w:val="0"/>
          <w:sz w:val="22"/>
          <w:szCs w:val="22"/>
        </w:rPr>
        <w:t>ealtor</w:t>
      </w:r>
      <w:r w:rsidRPr="009A18D1" w:rsidDel="00130237">
        <w:rPr>
          <w:snapToGrid w:val="0"/>
          <w:sz w:val="22"/>
          <w:szCs w:val="22"/>
        </w:rPr>
        <w:t xml:space="preserve"> </w:t>
      </w:r>
      <w:r w:rsidR="009A18D1" w:rsidRPr="001D20A1">
        <w:rPr>
          <w:snapToGrid w:val="0"/>
          <w:sz w:val="22"/>
          <w:szCs w:val="22"/>
          <w:vertAlign w:val="superscript"/>
        </w:rPr>
        <w:t>®</w:t>
      </w:r>
      <w:r w:rsidR="009A18D1" w:rsidRPr="009A18D1">
        <w:rPr>
          <w:snapToGrid w:val="0"/>
          <w:sz w:val="22"/>
          <w:szCs w:val="22"/>
        </w:rPr>
        <w:t xml:space="preserve"> Associations) </w:t>
      </w:r>
      <w:r w:rsidR="009B023B">
        <w:rPr>
          <w:snapToGrid w:val="0"/>
          <w:sz w:val="22"/>
          <w:szCs w:val="22"/>
        </w:rPr>
        <w:t xml:space="preserve">– </w:t>
      </w:r>
      <w:r w:rsidR="009A18D1" w:rsidRPr="009A18D1">
        <w:rPr>
          <w:snapToGrid w:val="0"/>
          <w:sz w:val="22"/>
          <w:szCs w:val="22"/>
        </w:rPr>
        <w:t>must implement the changes by this date to remain in compliance with NAR policy.</w:t>
      </w:r>
    </w:p>
    <w:p w14:paraId="074B0893" w14:textId="7814C8DD" w:rsidR="009A18D1" w:rsidRPr="009A18D1" w:rsidRDefault="009A18D1" w:rsidP="00557B7D">
      <w:pPr>
        <w:spacing w:line="360" w:lineRule="auto"/>
        <w:ind w:firstLine="720"/>
        <w:rPr>
          <w:snapToGrid w:val="0"/>
          <w:sz w:val="22"/>
          <w:szCs w:val="22"/>
        </w:rPr>
      </w:pPr>
      <w:r w:rsidRPr="009A18D1">
        <w:rPr>
          <w:snapToGrid w:val="0"/>
          <w:sz w:val="22"/>
          <w:szCs w:val="22"/>
        </w:rPr>
        <w:t>Under the settlement, the following practice changes will take effect:</w:t>
      </w:r>
    </w:p>
    <w:p w14:paraId="37362C85" w14:textId="10B9F213" w:rsidR="009A18D1" w:rsidRPr="00557B7D" w:rsidRDefault="009A18D1" w:rsidP="00557B7D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snapToGrid w:val="0"/>
          <w:sz w:val="22"/>
          <w:szCs w:val="22"/>
        </w:rPr>
      </w:pPr>
      <w:r w:rsidRPr="001D20A1">
        <w:rPr>
          <w:b/>
          <w:bCs/>
          <w:snapToGrid w:val="0"/>
          <w:sz w:val="22"/>
          <w:szCs w:val="22"/>
        </w:rPr>
        <w:t>Offers of compensation</w:t>
      </w:r>
      <w:r w:rsidRPr="00557B7D">
        <w:rPr>
          <w:snapToGrid w:val="0"/>
          <w:sz w:val="22"/>
          <w:szCs w:val="22"/>
        </w:rPr>
        <w:t xml:space="preserve"> will be prohibited on Multiple Listing Services (MLSs). Offers of compensation will continue to be an option consumers can pursue off-MLS through negotiation and consultation with real estate professionals. Offers of compensation help make homeownership and the benefits of professional representation more accessible to buyers, including first-time homebuyers, increase homeownership opportunities for historically underserved groups, and benefit sellers by expanding the potential buyer pool. and ensuring they receive the best offer possible for their property. </w:t>
      </w:r>
    </w:p>
    <w:p w14:paraId="050AB7B5" w14:textId="7415E8C3" w:rsidR="009A18D1" w:rsidRPr="00557B7D" w:rsidRDefault="009A18D1" w:rsidP="00557B7D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snapToGrid w:val="0"/>
          <w:sz w:val="22"/>
          <w:szCs w:val="22"/>
        </w:rPr>
      </w:pPr>
      <w:r w:rsidRPr="001D20A1">
        <w:rPr>
          <w:b/>
          <w:bCs/>
          <w:snapToGrid w:val="0"/>
          <w:sz w:val="22"/>
          <w:szCs w:val="22"/>
        </w:rPr>
        <w:t>Agents working with a buyer</w:t>
      </w:r>
      <w:r w:rsidRPr="00557B7D">
        <w:rPr>
          <w:snapToGrid w:val="0"/>
          <w:sz w:val="22"/>
          <w:szCs w:val="22"/>
        </w:rPr>
        <w:t xml:space="preserve"> will enter into a written buyer agreement before touring a home. The practice changes </w:t>
      </w:r>
      <w:r w:rsidR="009651A1" w:rsidRPr="001D20A1">
        <w:rPr>
          <w:snapToGrid w:val="0"/>
          <w:sz w:val="22"/>
          <w:szCs w:val="22"/>
          <w:u w:val="single"/>
        </w:rPr>
        <w:t>do not</w:t>
      </w:r>
      <w:r w:rsidRPr="00557B7D">
        <w:rPr>
          <w:snapToGrid w:val="0"/>
          <w:sz w:val="22"/>
          <w:szCs w:val="22"/>
        </w:rPr>
        <w:t xml:space="preserve"> require an agency agreement or dictate any type of relationship. Resources are available to assist with implementation of the settlement terms—such as tips on clarity </w:t>
      </w:r>
      <w:r w:rsidRPr="00557B7D">
        <w:rPr>
          <w:snapToGrid w:val="0"/>
          <w:sz w:val="22"/>
          <w:szCs w:val="22"/>
        </w:rPr>
        <w:t>and emphasizing consumer choice and a “</w:t>
      </w:r>
      <w:hyperlink r:id="rId5" w:history="1">
        <w:r w:rsidR="005F4320" w:rsidRPr="003036F8">
          <w:rPr>
            <w:rStyle w:val="Hyperlink"/>
            <w:snapToGrid w:val="0"/>
            <w:sz w:val="22"/>
            <w:szCs w:val="22"/>
          </w:rPr>
          <w:t>Written Buyer Agreements 101</w:t>
        </w:r>
      </w:hyperlink>
      <w:r w:rsidRPr="00557B7D">
        <w:rPr>
          <w:snapToGrid w:val="0"/>
          <w:sz w:val="22"/>
          <w:szCs w:val="22"/>
        </w:rPr>
        <w:t>” resource.</w:t>
      </w:r>
    </w:p>
    <w:p w14:paraId="46EB9B8F" w14:textId="0DF2CC1A" w:rsidR="009A18D1" w:rsidRPr="009A18D1" w:rsidRDefault="009A18D1" w:rsidP="00557B7D">
      <w:pPr>
        <w:spacing w:line="360" w:lineRule="auto"/>
        <w:ind w:firstLine="720"/>
        <w:rPr>
          <w:snapToGrid w:val="0"/>
          <w:sz w:val="22"/>
          <w:szCs w:val="22"/>
        </w:rPr>
      </w:pPr>
      <w:r w:rsidRPr="009A18D1">
        <w:rPr>
          <w:snapToGrid w:val="0"/>
          <w:sz w:val="22"/>
          <w:szCs w:val="22"/>
          <w:highlight w:val="yellow"/>
        </w:rPr>
        <w:t>[QUOTE FROM ASSOCIATION CEO/PRESIDENT/LEADER UNDERSCORING NEED TO IMPLEMENT CHANGES AND HIGHLIGHTING VALUE REALTORS PROVIDE TO CONSUMERS]</w:t>
      </w:r>
    </w:p>
    <w:p w14:paraId="5066EE25" w14:textId="538199E3" w:rsidR="009A18D1" w:rsidRPr="009A18D1" w:rsidRDefault="009A18D1" w:rsidP="00557B7D">
      <w:pPr>
        <w:spacing w:line="360" w:lineRule="auto"/>
        <w:ind w:firstLine="720"/>
        <w:rPr>
          <w:snapToGrid w:val="0"/>
          <w:sz w:val="22"/>
          <w:szCs w:val="22"/>
        </w:rPr>
      </w:pPr>
      <w:r w:rsidRPr="009A18D1">
        <w:rPr>
          <w:snapToGrid w:val="0"/>
          <w:sz w:val="22"/>
          <w:szCs w:val="22"/>
        </w:rPr>
        <w:t xml:space="preserve">Consumers can find additional information on what these changes mean for their homebuying and selling experiences in NAR’s </w:t>
      </w:r>
      <w:hyperlink r:id="rId6" w:history="1">
        <w:r w:rsidR="000712B6" w:rsidRPr="003036F8">
          <w:rPr>
            <w:rStyle w:val="Hyperlink"/>
            <w:snapToGrid w:val="0"/>
            <w:sz w:val="22"/>
            <w:szCs w:val="22"/>
          </w:rPr>
          <w:t>buyers</w:t>
        </w:r>
      </w:hyperlink>
      <w:r w:rsidR="000712B6" w:rsidRPr="003036F8">
        <w:rPr>
          <w:snapToGrid w:val="0"/>
          <w:sz w:val="22"/>
          <w:szCs w:val="22"/>
        </w:rPr>
        <w:t xml:space="preserve"> </w:t>
      </w:r>
      <w:r w:rsidRPr="009A18D1">
        <w:rPr>
          <w:snapToGrid w:val="0"/>
          <w:sz w:val="22"/>
          <w:szCs w:val="22"/>
        </w:rPr>
        <w:t xml:space="preserve">and </w:t>
      </w:r>
      <w:hyperlink r:id="rId7" w:history="1">
        <w:r w:rsidR="00980796" w:rsidRPr="00C66481">
          <w:rPr>
            <w:rStyle w:val="Hyperlink"/>
            <w:snapToGrid w:val="0"/>
            <w:sz w:val="22"/>
            <w:szCs w:val="22"/>
          </w:rPr>
          <w:t>sellers</w:t>
        </w:r>
      </w:hyperlink>
      <w:r w:rsidR="00980796" w:rsidRPr="0071032C">
        <w:rPr>
          <w:rStyle w:val="Hyperlink"/>
        </w:rPr>
        <w:t xml:space="preserve"> guides</w:t>
      </w:r>
      <w:r w:rsidRPr="009A18D1">
        <w:rPr>
          <w:snapToGrid w:val="0"/>
          <w:sz w:val="22"/>
          <w:szCs w:val="22"/>
        </w:rPr>
        <w:t xml:space="preserve">. For NAR members, the practice changes are outlined in detail </w:t>
      </w:r>
      <w:hyperlink r:id="rId8" w:tgtFrame="_blank" w:history="1">
        <w:r w:rsidR="00CB5687" w:rsidRPr="003036F8">
          <w:rPr>
            <w:rStyle w:val="Hyperlink"/>
            <w:snapToGrid w:val="0"/>
            <w:sz w:val="22"/>
            <w:szCs w:val="22"/>
          </w:rPr>
          <w:t>here</w:t>
        </w:r>
      </w:hyperlink>
      <w:r w:rsidRPr="009A18D1">
        <w:rPr>
          <w:snapToGrid w:val="0"/>
          <w:sz w:val="22"/>
          <w:szCs w:val="22"/>
        </w:rPr>
        <w:t xml:space="preserve">, and detailed information is available in NAR’s </w:t>
      </w:r>
      <w:hyperlink r:id="rId9" w:tgtFrame="_blank" w:history="1">
        <w:r w:rsidR="004610E5" w:rsidRPr="003036F8">
          <w:rPr>
            <w:rStyle w:val="Hyperlink"/>
            <w:snapToGrid w:val="0"/>
            <w:sz w:val="22"/>
            <w:szCs w:val="22"/>
          </w:rPr>
          <w:t>FAQ</w:t>
        </w:r>
      </w:hyperlink>
      <w:r w:rsidRPr="009A18D1">
        <w:rPr>
          <w:snapToGrid w:val="0"/>
          <w:sz w:val="22"/>
          <w:szCs w:val="22"/>
        </w:rPr>
        <w:t>. Please visit </w:t>
      </w:r>
      <w:proofErr w:type="spellStart"/>
      <w:r w:rsidR="00E26C43">
        <w:fldChar w:fldCharType="begin"/>
      </w:r>
      <w:r w:rsidR="00E26C43">
        <w:instrText>HYPERLINK "https://www.nar.realtor/the-facts"</w:instrText>
      </w:r>
      <w:r w:rsidR="00E26C43">
        <w:fldChar w:fldCharType="separate"/>
      </w:r>
      <w:proofErr w:type="gramStart"/>
      <w:r w:rsidR="00AA066A" w:rsidRPr="003036F8">
        <w:rPr>
          <w:rStyle w:val="Hyperlink"/>
          <w:snapToGrid w:val="0"/>
          <w:sz w:val="22"/>
          <w:szCs w:val="22"/>
        </w:rPr>
        <w:t>facts.realtor</w:t>
      </w:r>
      <w:proofErr w:type="spellEnd"/>
      <w:proofErr w:type="gramEnd"/>
      <w:r w:rsidR="00E26C43">
        <w:rPr>
          <w:rStyle w:val="Hyperlink"/>
          <w:snapToGrid w:val="0"/>
          <w:sz w:val="22"/>
          <w:szCs w:val="22"/>
        </w:rPr>
        <w:fldChar w:fldCharType="end"/>
      </w:r>
      <w:r w:rsidR="00AA066A">
        <w:rPr>
          <w:rStyle w:val="Hyperlink"/>
          <w:snapToGrid w:val="0"/>
          <w:sz w:val="22"/>
          <w:szCs w:val="22"/>
        </w:rPr>
        <w:t xml:space="preserve"> </w:t>
      </w:r>
      <w:r w:rsidRPr="009A18D1">
        <w:rPr>
          <w:snapToGrid w:val="0"/>
          <w:sz w:val="22"/>
          <w:szCs w:val="22"/>
        </w:rPr>
        <w:t>for the latest updates on the settlement and practice changes.</w:t>
      </w:r>
    </w:p>
    <w:p w14:paraId="17CAD4B1" w14:textId="2A0EE85D" w:rsidR="009A18D1" w:rsidRDefault="009A18D1" w:rsidP="00557B7D">
      <w:pPr>
        <w:spacing w:line="360" w:lineRule="auto"/>
        <w:rPr>
          <w:b/>
          <w:bCs/>
          <w:snapToGrid w:val="0"/>
          <w:sz w:val="22"/>
          <w:szCs w:val="22"/>
        </w:rPr>
      </w:pPr>
      <w:r w:rsidRPr="001D20A1">
        <w:rPr>
          <w:b/>
          <w:bCs/>
          <w:snapToGrid w:val="0"/>
          <w:sz w:val="22"/>
          <w:szCs w:val="22"/>
          <w:highlight w:val="yellow"/>
        </w:rPr>
        <w:t>[</w:t>
      </w:r>
      <w:r w:rsidR="002510BB">
        <w:rPr>
          <w:b/>
          <w:bCs/>
          <w:snapToGrid w:val="0"/>
          <w:sz w:val="22"/>
          <w:szCs w:val="22"/>
          <w:highlight w:val="yellow"/>
        </w:rPr>
        <w:t xml:space="preserve">About </w:t>
      </w:r>
      <w:r w:rsidRPr="001D20A1">
        <w:rPr>
          <w:b/>
          <w:bCs/>
          <w:snapToGrid w:val="0"/>
          <w:sz w:val="22"/>
          <w:szCs w:val="22"/>
          <w:highlight w:val="yellow"/>
        </w:rPr>
        <w:t xml:space="preserve">ASSOCIATION </w:t>
      </w:r>
      <w:r w:rsidR="00730C05">
        <w:rPr>
          <w:b/>
          <w:bCs/>
          <w:snapToGrid w:val="0"/>
          <w:sz w:val="22"/>
          <w:szCs w:val="22"/>
          <w:highlight w:val="yellow"/>
        </w:rPr>
        <w:t>(</w:t>
      </w:r>
      <w:r w:rsidRPr="001D20A1">
        <w:rPr>
          <w:b/>
          <w:bCs/>
          <w:snapToGrid w:val="0"/>
          <w:sz w:val="22"/>
          <w:szCs w:val="22"/>
          <w:highlight w:val="yellow"/>
        </w:rPr>
        <w:t>BOILERPLATE</w:t>
      </w:r>
      <w:r w:rsidR="00730C05">
        <w:rPr>
          <w:b/>
          <w:bCs/>
          <w:snapToGrid w:val="0"/>
          <w:sz w:val="22"/>
          <w:szCs w:val="22"/>
          <w:highlight w:val="yellow"/>
        </w:rPr>
        <w:t>)</w:t>
      </w:r>
      <w:r w:rsidRPr="001D20A1">
        <w:rPr>
          <w:b/>
          <w:bCs/>
          <w:snapToGrid w:val="0"/>
          <w:sz w:val="22"/>
          <w:szCs w:val="22"/>
          <w:highlight w:val="yellow"/>
        </w:rPr>
        <w:t>]</w:t>
      </w:r>
    </w:p>
    <w:p w14:paraId="01262AFD" w14:textId="1F040583" w:rsidR="002510BB" w:rsidRPr="002510BB" w:rsidRDefault="002510BB" w:rsidP="00557B7D">
      <w:pPr>
        <w:spacing w:line="360" w:lineRule="auto"/>
        <w:rPr>
          <w:snapToGrid w:val="0"/>
          <w:sz w:val="22"/>
          <w:szCs w:val="22"/>
        </w:rPr>
      </w:pPr>
      <w:r w:rsidRPr="001D20A1">
        <w:rPr>
          <w:snapToGrid w:val="0"/>
          <w:sz w:val="22"/>
          <w:szCs w:val="22"/>
        </w:rPr>
        <w:t>[Association boilerplate copy.]</w:t>
      </w:r>
    </w:p>
    <w:p w14:paraId="5B4E3635" w14:textId="77777777" w:rsidR="009A18D1" w:rsidRDefault="009A18D1" w:rsidP="00557B7D">
      <w:pPr>
        <w:spacing w:line="360" w:lineRule="auto"/>
        <w:ind w:firstLine="720"/>
        <w:rPr>
          <w:snapToGrid w:val="0"/>
          <w:sz w:val="22"/>
          <w:szCs w:val="22"/>
        </w:rPr>
      </w:pPr>
    </w:p>
    <w:p w14:paraId="3A70ED35" w14:textId="3DC693D0" w:rsidR="00D372CA" w:rsidRPr="009A18D1" w:rsidRDefault="00D372CA" w:rsidP="001D20A1">
      <w:pPr>
        <w:spacing w:line="360" w:lineRule="auto"/>
        <w:ind w:firstLine="720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# # #</w:t>
      </w:r>
    </w:p>
    <w:p w14:paraId="70A8E655" w14:textId="77777777" w:rsidR="009A18D1" w:rsidRPr="00557B7D" w:rsidRDefault="009A18D1" w:rsidP="00557B7D">
      <w:pPr>
        <w:spacing w:line="360" w:lineRule="auto"/>
        <w:ind w:firstLine="720"/>
        <w:rPr>
          <w:snapToGrid w:val="0"/>
          <w:sz w:val="22"/>
          <w:szCs w:val="22"/>
        </w:rPr>
      </w:pPr>
    </w:p>
    <w:sectPr w:rsidR="009A18D1" w:rsidRPr="00557B7D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8296B"/>
    <w:multiLevelType w:val="multilevel"/>
    <w:tmpl w:val="410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17FA0"/>
    <w:multiLevelType w:val="hybridMultilevel"/>
    <w:tmpl w:val="FC782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5B5A51"/>
    <w:multiLevelType w:val="hybridMultilevel"/>
    <w:tmpl w:val="224AF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41979">
    <w:abstractNumId w:val="3"/>
  </w:num>
  <w:num w:numId="2" w16cid:durableId="162400904">
    <w:abstractNumId w:val="1"/>
  </w:num>
  <w:num w:numId="3" w16cid:durableId="374697483">
    <w:abstractNumId w:val="0"/>
  </w:num>
  <w:num w:numId="4" w16cid:durableId="1272011206">
    <w:abstractNumId w:val="0"/>
  </w:num>
  <w:num w:numId="5" w16cid:durableId="147491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E"/>
    <w:rsid w:val="00004DEB"/>
    <w:rsid w:val="00006835"/>
    <w:rsid w:val="00031E09"/>
    <w:rsid w:val="00036B81"/>
    <w:rsid w:val="00060C21"/>
    <w:rsid w:val="00066D05"/>
    <w:rsid w:val="000712B6"/>
    <w:rsid w:val="000733E9"/>
    <w:rsid w:val="000857BF"/>
    <w:rsid w:val="00095D9E"/>
    <w:rsid w:val="000B5495"/>
    <w:rsid w:val="000F792D"/>
    <w:rsid w:val="001216C3"/>
    <w:rsid w:val="00130237"/>
    <w:rsid w:val="0013306E"/>
    <w:rsid w:val="00136A48"/>
    <w:rsid w:val="00137E53"/>
    <w:rsid w:val="0016268E"/>
    <w:rsid w:val="00180802"/>
    <w:rsid w:val="00183518"/>
    <w:rsid w:val="00187463"/>
    <w:rsid w:val="001A4C0B"/>
    <w:rsid w:val="001B7402"/>
    <w:rsid w:val="001D20A1"/>
    <w:rsid w:val="001E179E"/>
    <w:rsid w:val="001E6B23"/>
    <w:rsid w:val="002204C5"/>
    <w:rsid w:val="002510BB"/>
    <w:rsid w:val="00260158"/>
    <w:rsid w:val="002F4739"/>
    <w:rsid w:val="003036F8"/>
    <w:rsid w:val="00334CA4"/>
    <w:rsid w:val="003675D9"/>
    <w:rsid w:val="00376AA0"/>
    <w:rsid w:val="00381DF2"/>
    <w:rsid w:val="00385EF3"/>
    <w:rsid w:val="003A398D"/>
    <w:rsid w:val="003B29A8"/>
    <w:rsid w:val="003D2649"/>
    <w:rsid w:val="003F4ABA"/>
    <w:rsid w:val="00433A49"/>
    <w:rsid w:val="0043628B"/>
    <w:rsid w:val="00460364"/>
    <w:rsid w:val="004610E5"/>
    <w:rsid w:val="0048628D"/>
    <w:rsid w:val="004A20D3"/>
    <w:rsid w:val="004C03FB"/>
    <w:rsid w:val="004C4AED"/>
    <w:rsid w:val="005064E4"/>
    <w:rsid w:val="0051665C"/>
    <w:rsid w:val="00534B71"/>
    <w:rsid w:val="0053570E"/>
    <w:rsid w:val="00542E1B"/>
    <w:rsid w:val="00555372"/>
    <w:rsid w:val="00557B7D"/>
    <w:rsid w:val="00560E8A"/>
    <w:rsid w:val="005944AA"/>
    <w:rsid w:val="005A46E4"/>
    <w:rsid w:val="005C2743"/>
    <w:rsid w:val="005D334E"/>
    <w:rsid w:val="005F4320"/>
    <w:rsid w:val="006177AD"/>
    <w:rsid w:val="00637054"/>
    <w:rsid w:val="006623D3"/>
    <w:rsid w:val="006704F9"/>
    <w:rsid w:val="00683802"/>
    <w:rsid w:val="006968D1"/>
    <w:rsid w:val="0069711C"/>
    <w:rsid w:val="006972C4"/>
    <w:rsid w:val="00697463"/>
    <w:rsid w:val="006A26AF"/>
    <w:rsid w:val="006B3D1C"/>
    <w:rsid w:val="006C7BEA"/>
    <w:rsid w:val="00730C05"/>
    <w:rsid w:val="00734F42"/>
    <w:rsid w:val="007440E4"/>
    <w:rsid w:val="0076707F"/>
    <w:rsid w:val="00773F36"/>
    <w:rsid w:val="007A24DA"/>
    <w:rsid w:val="007A76CA"/>
    <w:rsid w:val="007D0C62"/>
    <w:rsid w:val="007E2DD3"/>
    <w:rsid w:val="007E340A"/>
    <w:rsid w:val="00800188"/>
    <w:rsid w:val="008132B6"/>
    <w:rsid w:val="00814336"/>
    <w:rsid w:val="00825F59"/>
    <w:rsid w:val="0083469B"/>
    <w:rsid w:val="00844D1D"/>
    <w:rsid w:val="0086441D"/>
    <w:rsid w:val="00874976"/>
    <w:rsid w:val="0087596A"/>
    <w:rsid w:val="00881F83"/>
    <w:rsid w:val="0089407B"/>
    <w:rsid w:val="008B3494"/>
    <w:rsid w:val="008C785B"/>
    <w:rsid w:val="008D0682"/>
    <w:rsid w:val="008D3457"/>
    <w:rsid w:val="008D3496"/>
    <w:rsid w:val="008F45F6"/>
    <w:rsid w:val="00911660"/>
    <w:rsid w:val="00921725"/>
    <w:rsid w:val="00924CB9"/>
    <w:rsid w:val="009651A1"/>
    <w:rsid w:val="00980796"/>
    <w:rsid w:val="009A18D1"/>
    <w:rsid w:val="009B023B"/>
    <w:rsid w:val="009C0B6D"/>
    <w:rsid w:val="009F1618"/>
    <w:rsid w:val="00A01A5C"/>
    <w:rsid w:val="00A041DD"/>
    <w:rsid w:val="00A06880"/>
    <w:rsid w:val="00A14863"/>
    <w:rsid w:val="00A37144"/>
    <w:rsid w:val="00A4274D"/>
    <w:rsid w:val="00A53AD6"/>
    <w:rsid w:val="00A55E35"/>
    <w:rsid w:val="00A8072F"/>
    <w:rsid w:val="00AA066A"/>
    <w:rsid w:val="00AE09B4"/>
    <w:rsid w:val="00B305CA"/>
    <w:rsid w:val="00B54353"/>
    <w:rsid w:val="00B64104"/>
    <w:rsid w:val="00BB62D7"/>
    <w:rsid w:val="00BC1BC2"/>
    <w:rsid w:val="00BD18D6"/>
    <w:rsid w:val="00C21A33"/>
    <w:rsid w:val="00C21B96"/>
    <w:rsid w:val="00C3129D"/>
    <w:rsid w:val="00C34BA1"/>
    <w:rsid w:val="00C621FB"/>
    <w:rsid w:val="00C66481"/>
    <w:rsid w:val="00C82788"/>
    <w:rsid w:val="00C82A88"/>
    <w:rsid w:val="00C851E1"/>
    <w:rsid w:val="00CB5687"/>
    <w:rsid w:val="00D1413A"/>
    <w:rsid w:val="00D17EBA"/>
    <w:rsid w:val="00D2144B"/>
    <w:rsid w:val="00D372CA"/>
    <w:rsid w:val="00D37F78"/>
    <w:rsid w:val="00D71DC8"/>
    <w:rsid w:val="00DA1214"/>
    <w:rsid w:val="00DA3CD4"/>
    <w:rsid w:val="00DB1358"/>
    <w:rsid w:val="00DB2012"/>
    <w:rsid w:val="00DD2A0A"/>
    <w:rsid w:val="00DD7D5B"/>
    <w:rsid w:val="00DE13F1"/>
    <w:rsid w:val="00DE1A0F"/>
    <w:rsid w:val="00DE49C9"/>
    <w:rsid w:val="00DF4FB3"/>
    <w:rsid w:val="00E26C43"/>
    <w:rsid w:val="00E27327"/>
    <w:rsid w:val="00E34BDD"/>
    <w:rsid w:val="00E675EF"/>
    <w:rsid w:val="00E7173A"/>
    <w:rsid w:val="00EA72A9"/>
    <w:rsid w:val="00EB16E2"/>
    <w:rsid w:val="00EB22B2"/>
    <w:rsid w:val="00EB3110"/>
    <w:rsid w:val="00F40552"/>
    <w:rsid w:val="00F76B62"/>
    <w:rsid w:val="00F7716C"/>
    <w:rsid w:val="00F803EE"/>
    <w:rsid w:val="00FB2291"/>
    <w:rsid w:val="00FB75F1"/>
    <w:rsid w:val="00FC38CA"/>
    <w:rsid w:val="00FD0D1D"/>
    <w:rsid w:val="00FF4FDC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587C"/>
  <w15:chartTrackingRefBased/>
  <w15:docId w15:val="{FCC6B8EF-0DBA-4275-8CD4-0E99C6F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6B8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36B81"/>
    <w:rPr>
      <w:color w:val="0000FF"/>
      <w:u w:val="single"/>
    </w:rPr>
  </w:style>
  <w:style w:type="paragraph" w:styleId="NoSpacing">
    <w:name w:val="No Spacing"/>
    <w:uiPriority w:val="1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14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62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D5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7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1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1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1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nar.realtor/sites/default/files/documents/mls-policy-changes-summary-2024-05-16.pdf?_gl=1*re50gq*_gcl_au*MTk2MzA5NDE4Mi4xNzE0MzYxNT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r.realtor/the-facts/home-sellers-what-the-nar-settlement-me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.realtor/the-facts/homebuyers-what-the-nar-settlement-mea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r.realtor/the-facts/written-buyer-agreements-1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r.realtor/the-facts/nar-settlement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4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High</dc:creator>
  <cp:keywords/>
  <dc:description/>
  <cp:lastModifiedBy>John Perilli</cp:lastModifiedBy>
  <cp:revision>2</cp:revision>
  <dcterms:created xsi:type="dcterms:W3CDTF">2024-07-31T19:16:00Z</dcterms:created>
  <dcterms:modified xsi:type="dcterms:W3CDTF">2024-07-31T19:16:00Z</dcterms:modified>
</cp:coreProperties>
</file>