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AE" w:rsidRDefault="009506AE" w:rsidP="009506AE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Section 10. Electronic Transition of Business:</w:t>
      </w:r>
      <w:r w:rsidRPr="009506A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</w:t>
      </w:r>
      <w:r>
        <w:rPr>
          <w:rFonts w:ascii="Arial" w:hAnsi="Arial" w:cs="Arial"/>
          <w:color w:val="000000"/>
          <w:sz w:val="22"/>
          <w:szCs w:val="22"/>
        </w:rPr>
        <w:t>o the f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ullest extent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permitted by law, the board of directors, committees, or membership may conduct business by electronic means.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2497E" w:rsidRDefault="0012497E"/>
    <w:sectPr w:rsidR="00124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AE"/>
    <w:rsid w:val="0012497E"/>
    <w:rsid w:val="0095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382F"/>
  <w15:chartTrackingRefBased/>
  <w15:docId w15:val="{9AFFAC71-58A4-4344-BC14-5DB1F547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06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Goldberg</dc:creator>
  <cp:keywords/>
  <dc:description/>
  <cp:lastModifiedBy>Katherine Goldberg</cp:lastModifiedBy>
  <cp:revision>1</cp:revision>
  <dcterms:created xsi:type="dcterms:W3CDTF">2018-04-02T21:19:00Z</dcterms:created>
  <dcterms:modified xsi:type="dcterms:W3CDTF">2018-04-02T21:20:00Z</dcterms:modified>
</cp:coreProperties>
</file>