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F17" w:rsidRPr="004133FE" w:rsidRDefault="00684F17" w:rsidP="00684F17">
      <w:pPr>
        <w:jc w:val="center"/>
        <w:rPr>
          <w:b/>
          <w:sz w:val="24"/>
          <w:szCs w:val="24"/>
          <w:u w:val="single"/>
        </w:rPr>
      </w:pPr>
      <w:bookmarkStart w:id="0" w:name="_GoBack"/>
      <w:bookmarkEnd w:id="0"/>
      <w:r w:rsidRPr="004133FE">
        <w:rPr>
          <w:b/>
          <w:sz w:val="24"/>
          <w:szCs w:val="24"/>
          <w:u w:val="single"/>
        </w:rPr>
        <w:t>ARELLO Archive</w:t>
      </w:r>
    </w:p>
    <w:p w:rsidR="00684F17" w:rsidRPr="004133FE" w:rsidRDefault="00B5378A" w:rsidP="00684F17">
      <w:pPr>
        <w:rPr>
          <w:b/>
          <w:sz w:val="24"/>
          <w:szCs w:val="24"/>
          <w:u w:val="single"/>
        </w:rPr>
      </w:pPr>
      <w:r w:rsidRPr="004133FE">
        <w:rPr>
          <w:b/>
          <w:sz w:val="24"/>
          <w:szCs w:val="24"/>
          <w:u w:val="single"/>
        </w:rPr>
        <w:t>Arizona—Duties of an Unlicensed Assistant</w:t>
      </w:r>
    </w:p>
    <w:p w:rsidR="00684F17" w:rsidRPr="004133FE" w:rsidRDefault="00D71573" w:rsidP="00684F17">
      <w:pPr>
        <w:rPr>
          <w:sz w:val="24"/>
          <w:szCs w:val="24"/>
        </w:rPr>
      </w:pPr>
      <w:hyperlink r:id="rId6" w:history="1">
        <w:r w:rsidR="00B5378A" w:rsidRPr="004133FE">
          <w:rPr>
            <w:rStyle w:val="Hyperlink"/>
            <w:sz w:val="24"/>
            <w:szCs w:val="24"/>
          </w:rPr>
          <w:t>AZ Dept. of Real Estate Substantive Policy Statement 2017.01</w:t>
        </w:r>
      </w:hyperlink>
    </w:p>
    <w:p w:rsidR="00684F17" w:rsidRPr="004133FE" w:rsidRDefault="00DF244C" w:rsidP="00684F17">
      <w:pPr>
        <w:rPr>
          <w:sz w:val="24"/>
          <w:szCs w:val="24"/>
        </w:rPr>
      </w:pPr>
      <w:r>
        <w:rPr>
          <w:sz w:val="24"/>
          <w:szCs w:val="24"/>
        </w:rPr>
        <w:t>A</w:t>
      </w:r>
      <w:r w:rsidR="00B5378A" w:rsidRPr="004133FE">
        <w:rPr>
          <w:sz w:val="24"/>
          <w:szCs w:val="24"/>
        </w:rPr>
        <w:t>n unlicensed assistant may not</w:t>
      </w:r>
      <w:r w:rsidR="004C670B">
        <w:rPr>
          <w:sz w:val="24"/>
          <w:szCs w:val="24"/>
        </w:rPr>
        <w:t xml:space="preserve"> be </w:t>
      </w:r>
      <w:r w:rsidR="00B5378A" w:rsidRPr="004133FE">
        <w:rPr>
          <w:sz w:val="24"/>
          <w:szCs w:val="24"/>
        </w:rPr>
        <w:t>compensated on any basis that relies on the ultimate sale or closing of a property</w:t>
      </w:r>
      <w:r w:rsidR="00684F17" w:rsidRPr="004133FE">
        <w:rPr>
          <w:sz w:val="24"/>
          <w:szCs w:val="24"/>
        </w:rPr>
        <w:t>.</w:t>
      </w:r>
      <w:r>
        <w:rPr>
          <w:sz w:val="24"/>
          <w:szCs w:val="24"/>
        </w:rPr>
        <w:t xml:space="preserve">  </w:t>
      </w:r>
    </w:p>
    <w:p w:rsidR="00684F17" w:rsidRPr="004133FE" w:rsidRDefault="00B5378A" w:rsidP="00684F17">
      <w:pPr>
        <w:rPr>
          <w:sz w:val="24"/>
          <w:szCs w:val="24"/>
        </w:rPr>
      </w:pPr>
      <w:r w:rsidRPr="004133FE">
        <w:rPr>
          <w:sz w:val="24"/>
          <w:szCs w:val="24"/>
        </w:rPr>
        <w:t>Issue Date</w:t>
      </w:r>
      <w:r w:rsidR="00684F17" w:rsidRPr="004133FE">
        <w:rPr>
          <w:sz w:val="24"/>
          <w:szCs w:val="24"/>
        </w:rPr>
        <w:t xml:space="preserve">:  </w:t>
      </w:r>
      <w:r w:rsidRPr="004133FE">
        <w:rPr>
          <w:sz w:val="24"/>
          <w:szCs w:val="24"/>
        </w:rPr>
        <w:t>June 9</w:t>
      </w:r>
      <w:r w:rsidR="00684F17" w:rsidRPr="004133FE">
        <w:rPr>
          <w:sz w:val="24"/>
          <w:szCs w:val="24"/>
        </w:rPr>
        <w:t>, 2017</w:t>
      </w:r>
      <w:r w:rsidR="002075AE" w:rsidRPr="004133FE">
        <w:rPr>
          <w:sz w:val="24"/>
          <w:szCs w:val="24"/>
        </w:rPr>
        <w:t xml:space="preserve"> – </w:t>
      </w:r>
      <w:r w:rsidRPr="004133FE">
        <w:rPr>
          <w:sz w:val="24"/>
          <w:szCs w:val="24"/>
        </w:rPr>
        <w:t>Enforcement Statement</w:t>
      </w:r>
    </w:p>
    <w:p w:rsidR="00684F17" w:rsidRPr="004133FE" w:rsidRDefault="00684F17" w:rsidP="00684F17">
      <w:pPr>
        <w:rPr>
          <w:sz w:val="24"/>
          <w:szCs w:val="24"/>
        </w:rPr>
      </w:pPr>
    </w:p>
    <w:p w:rsidR="00A1643A" w:rsidRPr="004133FE" w:rsidRDefault="00A1643A" w:rsidP="00A1643A">
      <w:pPr>
        <w:rPr>
          <w:b/>
          <w:sz w:val="24"/>
          <w:szCs w:val="24"/>
          <w:u w:val="single"/>
        </w:rPr>
      </w:pPr>
      <w:r w:rsidRPr="004133FE">
        <w:rPr>
          <w:b/>
          <w:sz w:val="24"/>
          <w:szCs w:val="24"/>
          <w:u w:val="single"/>
        </w:rPr>
        <w:t>California—</w:t>
      </w:r>
      <w:r>
        <w:rPr>
          <w:b/>
          <w:sz w:val="24"/>
          <w:szCs w:val="24"/>
          <w:u w:val="single"/>
        </w:rPr>
        <w:t>Disclosure Regarding Private Transfer Fees</w:t>
      </w:r>
    </w:p>
    <w:p w:rsidR="00A1643A" w:rsidRPr="00A1643A" w:rsidRDefault="00D71573" w:rsidP="00A1643A">
      <w:pPr>
        <w:rPr>
          <w:sz w:val="24"/>
          <w:szCs w:val="24"/>
        </w:rPr>
      </w:pPr>
      <w:hyperlink r:id="rId7" w:history="1">
        <w:hyperlink r:id="rId8" w:history="1">
          <w:r w:rsidR="00A1643A" w:rsidRPr="00A1643A">
            <w:rPr>
              <w:rStyle w:val="Hyperlink"/>
              <w:sz w:val="24"/>
              <w:szCs w:val="24"/>
            </w:rPr>
            <w:t>Cal. Civil Code § 1098.5 (2017)</w:t>
          </w:r>
        </w:hyperlink>
      </w:hyperlink>
    </w:p>
    <w:p w:rsidR="00A1643A" w:rsidRPr="00A1643A" w:rsidRDefault="00A1643A" w:rsidP="00A1643A">
      <w:pPr>
        <w:jc w:val="both"/>
        <w:rPr>
          <w:sz w:val="24"/>
          <w:szCs w:val="24"/>
        </w:rPr>
      </w:pPr>
      <w:r w:rsidRPr="00A1643A">
        <w:rPr>
          <w:sz w:val="24"/>
          <w:szCs w:val="24"/>
        </w:rPr>
        <w:t>If property is subject to a private transfer fee created on or after 02/08/2011, the statement of the fee must include a disclosure that the Federal Housing Finance Agency and Federal Housing Administration will not deal in mortgages encumbered by private transfer fee covenants that do not provide a direct benefit to the property.</w:t>
      </w:r>
    </w:p>
    <w:p w:rsidR="00A1643A" w:rsidRPr="00A1643A" w:rsidRDefault="00A1643A" w:rsidP="00A1643A">
      <w:pPr>
        <w:rPr>
          <w:sz w:val="24"/>
          <w:szCs w:val="24"/>
        </w:rPr>
      </w:pPr>
      <w:r w:rsidRPr="00A1643A">
        <w:rPr>
          <w:sz w:val="24"/>
          <w:szCs w:val="24"/>
        </w:rPr>
        <w:t xml:space="preserve">Effective Date:  January 1, 2018 - Amended Statute </w:t>
      </w:r>
    </w:p>
    <w:p w:rsidR="00A1643A" w:rsidRPr="00A1643A" w:rsidRDefault="00A1643A" w:rsidP="00A1643A">
      <w:pPr>
        <w:rPr>
          <w:sz w:val="24"/>
          <w:szCs w:val="24"/>
        </w:rPr>
      </w:pPr>
    </w:p>
    <w:p w:rsidR="00A1643A" w:rsidRPr="004133FE" w:rsidRDefault="00A1643A" w:rsidP="00A1643A">
      <w:pPr>
        <w:rPr>
          <w:b/>
          <w:sz w:val="24"/>
          <w:szCs w:val="24"/>
          <w:u w:val="single"/>
        </w:rPr>
      </w:pPr>
      <w:r w:rsidRPr="004133FE">
        <w:rPr>
          <w:b/>
          <w:sz w:val="24"/>
          <w:szCs w:val="24"/>
          <w:u w:val="single"/>
        </w:rPr>
        <w:t>California—</w:t>
      </w:r>
      <w:r>
        <w:rPr>
          <w:b/>
          <w:sz w:val="24"/>
          <w:szCs w:val="24"/>
          <w:u w:val="single"/>
        </w:rPr>
        <w:t>Opinions Forming Basis of Disclosure</w:t>
      </w:r>
    </w:p>
    <w:p w:rsidR="00A1643A" w:rsidRDefault="00D71573" w:rsidP="00A1643A">
      <w:pPr>
        <w:jc w:val="both"/>
        <w:rPr>
          <w:sz w:val="24"/>
          <w:szCs w:val="24"/>
        </w:rPr>
      </w:pPr>
      <w:hyperlink r:id="rId9" w:history="1">
        <w:r w:rsidR="00A1643A" w:rsidRPr="00A1643A">
          <w:rPr>
            <w:rStyle w:val="Hyperlink"/>
            <w:sz w:val="24"/>
            <w:szCs w:val="24"/>
          </w:rPr>
          <w:t>Cal. Bus. &amp; Prof. Code § 7197 (2017)</w:t>
        </w:r>
      </w:hyperlink>
    </w:p>
    <w:p w:rsidR="00A1643A" w:rsidRPr="00A1643A" w:rsidRDefault="00A1643A" w:rsidP="00A1643A">
      <w:pPr>
        <w:jc w:val="both"/>
        <w:rPr>
          <w:sz w:val="24"/>
          <w:szCs w:val="24"/>
        </w:rPr>
      </w:pPr>
      <w:r w:rsidRPr="00A1643A">
        <w:rPr>
          <w:sz w:val="24"/>
          <w:szCs w:val="24"/>
        </w:rPr>
        <w:t xml:space="preserve">A report or opinion prepared by a C-39 roofing contractor </w:t>
      </w:r>
      <w:r w:rsidR="00DF244C">
        <w:rPr>
          <w:sz w:val="24"/>
          <w:szCs w:val="24"/>
        </w:rPr>
        <w:t xml:space="preserve">may be relied upon by </w:t>
      </w:r>
      <w:r w:rsidRPr="00A1643A">
        <w:rPr>
          <w:sz w:val="24"/>
          <w:szCs w:val="24"/>
        </w:rPr>
        <w:t xml:space="preserve">a listing </w:t>
      </w:r>
      <w:r w:rsidR="00DF244C">
        <w:rPr>
          <w:sz w:val="24"/>
          <w:szCs w:val="24"/>
        </w:rPr>
        <w:t xml:space="preserve">representative </w:t>
      </w:r>
      <w:r w:rsidRPr="00A1643A">
        <w:rPr>
          <w:sz w:val="24"/>
          <w:szCs w:val="24"/>
        </w:rPr>
        <w:t>when preparing a property condition disclosure. The report must have been performed by someone other than the person who performs a home inspection.</w:t>
      </w:r>
    </w:p>
    <w:p w:rsidR="00A1643A" w:rsidRPr="00A1643A" w:rsidRDefault="00A1643A" w:rsidP="00A1643A">
      <w:pPr>
        <w:rPr>
          <w:sz w:val="24"/>
          <w:szCs w:val="24"/>
        </w:rPr>
      </w:pPr>
      <w:r w:rsidRPr="00A1643A">
        <w:rPr>
          <w:sz w:val="24"/>
          <w:szCs w:val="24"/>
        </w:rPr>
        <w:t xml:space="preserve">Effective Date:  January 1, 2018 - Amended Statute </w:t>
      </w:r>
    </w:p>
    <w:p w:rsidR="00A1643A" w:rsidRPr="00A1643A" w:rsidRDefault="00A1643A" w:rsidP="00A1643A">
      <w:pPr>
        <w:rPr>
          <w:sz w:val="24"/>
          <w:szCs w:val="24"/>
        </w:rPr>
      </w:pPr>
    </w:p>
    <w:p w:rsidR="00684F17" w:rsidRPr="004133FE" w:rsidRDefault="00B5378A" w:rsidP="00684F17">
      <w:pPr>
        <w:rPr>
          <w:b/>
          <w:sz w:val="24"/>
          <w:szCs w:val="24"/>
          <w:u w:val="single"/>
        </w:rPr>
      </w:pPr>
      <w:r w:rsidRPr="004133FE">
        <w:rPr>
          <w:b/>
          <w:sz w:val="24"/>
          <w:szCs w:val="24"/>
          <w:u w:val="single"/>
        </w:rPr>
        <w:t>California—Duties of an Unlicensed Assistant</w:t>
      </w:r>
    </w:p>
    <w:p w:rsidR="00B5378A" w:rsidRPr="004133FE" w:rsidRDefault="00D71573" w:rsidP="00684F17">
      <w:pPr>
        <w:rPr>
          <w:sz w:val="24"/>
          <w:szCs w:val="24"/>
        </w:rPr>
      </w:pPr>
      <w:hyperlink r:id="rId10" w:history="1">
        <w:r w:rsidR="00B5378A" w:rsidRPr="004133FE">
          <w:rPr>
            <w:rStyle w:val="Hyperlink"/>
            <w:sz w:val="24"/>
            <w:szCs w:val="24"/>
          </w:rPr>
          <w:t>Cal. Bus. &amp; Prof. Code § 10145 (2017)</w:t>
        </w:r>
      </w:hyperlink>
    </w:p>
    <w:p w:rsidR="00684F17" w:rsidRPr="004133FE" w:rsidRDefault="004133FE" w:rsidP="004133FE">
      <w:pPr>
        <w:jc w:val="both"/>
        <w:rPr>
          <w:sz w:val="24"/>
          <w:szCs w:val="24"/>
        </w:rPr>
      </w:pPr>
      <w:r w:rsidRPr="004133FE">
        <w:rPr>
          <w:sz w:val="24"/>
          <w:szCs w:val="24"/>
        </w:rPr>
        <w:t>This law authorizes unlicensed employees of real estate brokers to make withdrawals from trust fund accounts if the broker has insurance coverage for intentional acts of an employee equal to the amount withdrawn.</w:t>
      </w:r>
    </w:p>
    <w:p w:rsidR="00684F17" w:rsidRPr="004133FE" w:rsidRDefault="00684F17" w:rsidP="00684F17">
      <w:pPr>
        <w:rPr>
          <w:sz w:val="24"/>
          <w:szCs w:val="24"/>
        </w:rPr>
      </w:pPr>
      <w:r w:rsidRPr="004133FE">
        <w:rPr>
          <w:sz w:val="24"/>
          <w:szCs w:val="24"/>
        </w:rPr>
        <w:lastRenderedPageBreak/>
        <w:t xml:space="preserve">Effective Date:  </w:t>
      </w:r>
      <w:r w:rsidR="004133FE" w:rsidRPr="004133FE">
        <w:rPr>
          <w:sz w:val="24"/>
          <w:szCs w:val="24"/>
        </w:rPr>
        <w:t>January 1, 2018</w:t>
      </w:r>
      <w:r w:rsidR="002075AE" w:rsidRPr="004133FE">
        <w:rPr>
          <w:sz w:val="24"/>
          <w:szCs w:val="24"/>
        </w:rPr>
        <w:t xml:space="preserve"> - Amended Statute </w:t>
      </w:r>
    </w:p>
    <w:p w:rsidR="002075AE" w:rsidRPr="004133FE" w:rsidRDefault="002075AE" w:rsidP="00684F17">
      <w:pPr>
        <w:rPr>
          <w:sz w:val="24"/>
          <w:szCs w:val="24"/>
        </w:rPr>
      </w:pPr>
    </w:p>
    <w:p w:rsidR="00684F17" w:rsidRPr="004133FE" w:rsidRDefault="00684F17" w:rsidP="00684F17">
      <w:pPr>
        <w:rPr>
          <w:b/>
          <w:sz w:val="24"/>
          <w:szCs w:val="24"/>
          <w:u w:val="single"/>
        </w:rPr>
      </w:pPr>
      <w:r w:rsidRPr="004133FE">
        <w:rPr>
          <w:b/>
          <w:sz w:val="24"/>
          <w:szCs w:val="24"/>
          <w:u w:val="single"/>
        </w:rPr>
        <w:t xml:space="preserve">Connecticut – </w:t>
      </w:r>
      <w:r w:rsidR="004133FE" w:rsidRPr="004133FE">
        <w:rPr>
          <w:b/>
          <w:sz w:val="24"/>
          <w:szCs w:val="24"/>
          <w:u w:val="single"/>
        </w:rPr>
        <w:t>Agency Disclosure</w:t>
      </w:r>
    </w:p>
    <w:p w:rsidR="004133FE" w:rsidRPr="004133FE" w:rsidRDefault="00D71573" w:rsidP="00684F17">
      <w:pPr>
        <w:rPr>
          <w:rStyle w:val="Hyperlink"/>
          <w:sz w:val="24"/>
          <w:szCs w:val="24"/>
        </w:rPr>
      </w:pPr>
      <w:hyperlink r:id="rId11" w:anchor="sec_20-325d" w:history="1">
        <w:r w:rsidR="004133FE" w:rsidRPr="004133FE">
          <w:rPr>
            <w:rStyle w:val="Hyperlink"/>
            <w:sz w:val="24"/>
            <w:szCs w:val="24"/>
          </w:rPr>
          <w:t>Ct. Gen. Stat. § 20-325d</w:t>
        </w:r>
      </w:hyperlink>
      <w:r w:rsidR="004133FE" w:rsidRPr="004133FE">
        <w:rPr>
          <w:sz w:val="24"/>
          <w:szCs w:val="24"/>
        </w:rPr>
        <w:t xml:space="preserve">, as amended by </w:t>
      </w:r>
      <w:hyperlink r:id="rId12" w:history="1">
        <w:r w:rsidR="004133FE" w:rsidRPr="004133FE">
          <w:rPr>
            <w:rStyle w:val="Hyperlink"/>
            <w:sz w:val="24"/>
            <w:szCs w:val="24"/>
          </w:rPr>
          <w:t>P.L. 17-169</w:t>
        </w:r>
      </w:hyperlink>
    </w:p>
    <w:p w:rsidR="004133FE" w:rsidRPr="004133FE" w:rsidRDefault="004133FE" w:rsidP="004133FE">
      <w:pPr>
        <w:jc w:val="both"/>
        <w:rPr>
          <w:sz w:val="24"/>
          <w:szCs w:val="24"/>
        </w:rPr>
      </w:pPr>
      <w:r w:rsidRPr="004133FE">
        <w:rPr>
          <w:sz w:val="24"/>
          <w:szCs w:val="24"/>
        </w:rPr>
        <w:t>This amended statute states that a real estate licensee who represents a seller, lessor, prospective purchaser or lessee in transaction must disclose, in writing, the identity of his or her client to any party to the transaction who is not represented by another real estate licensee. If the transaction concerns residential property, the disclosure must be made at the beginning of the first personal meeting concerning the prospective purchaser’s or lessee’s specific needs in the transaction, or at the beginning of the first personal meeting with the seller or lessor concerning the property. If the transaction involves commercial real estate, disclosure must be made before the prospective purchaser or lessee signs the purchase contract or lease. The disclosure must be signed by a prospective purchaser or lessee and attached to any offer or agreement to purchase or lease.</w:t>
      </w:r>
    </w:p>
    <w:p w:rsidR="00684F17" w:rsidRPr="004133FE" w:rsidRDefault="00684F17" w:rsidP="00684F17">
      <w:pPr>
        <w:rPr>
          <w:sz w:val="24"/>
          <w:szCs w:val="24"/>
        </w:rPr>
      </w:pPr>
      <w:r w:rsidRPr="004133FE">
        <w:rPr>
          <w:sz w:val="24"/>
          <w:szCs w:val="24"/>
        </w:rPr>
        <w:t xml:space="preserve">Effective Date:  </w:t>
      </w:r>
      <w:r w:rsidR="004133FE" w:rsidRPr="004133FE">
        <w:rPr>
          <w:sz w:val="24"/>
          <w:szCs w:val="24"/>
        </w:rPr>
        <w:t>January 1, 2018</w:t>
      </w:r>
      <w:r w:rsidR="002075AE" w:rsidRPr="004133FE">
        <w:rPr>
          <w:sz w:val="24"/>
          <w:szCs w:val="24"/>
        </w:rPr>
        <w:t xml:space="preserve"> – Amended Statute </w:t>
      </w:r>
    </w:p>
    <w:p w:rsidR="00DF244C" w:rsidRDefault="00DF244C" w:rsidP="00684F17">
      <w:pPr>
        <w:rPr>
          <w:b/>
          <w:sz w:val="24"/>
          <w:szCs w:val="24"/>
          <w:u w:val="single"/>
        </w:rPr>
      </w:pPr>
    </w:p>
    <w:p w:rsidR="00684F17" w:rsidRPr="004133FE" w:rsidRDefault="004133FE" w:rsidP="00684F17">
      <w:pPr>
        <w:rPr>
          <w:b/>
          <w:sz w:val="24"/>
          <w:szCs w:val="24"/>
          <w:u w:val="single"/>
        </w:rPr>
      </w:pPr>
      <w:r>
        <w:rPr>
          <w:b/>
          <w:sz w:val="24"/>
          <w:szCs w:val="24"/>
          <w:u w:val="single"/>
        </w:rPr>
        <w:t>Hawaii</w:t>
      </w:r>
      <w:r w:rsidR="00684F17" w:rsidRPr="004133FE">
        <w:rPr>
          <w:b/>
          <w:sz w:val="24"/>
          <w:szCs w:val="24"/>
          <w:u w:val="single"/>
        </w:rPr>
        <w:t xml:space="preserve"> – </w:t>
      </w:r>
      <w:r>
        <w:rPr>
          <w:b/>
          <w:sz w:val="24"/>
          <w:szCs w:val="24"/>
          <w:u w:val="single"/>
        </w:rPr>
        <w:t>Teams</w:t>
      </w:r>
    </w:p>
    <w:p w:rsidR="004133FE" w:rsidRDefault="00D71573" w:rsidP="00684F17">
      <w:pPr>
        <w:rPr>
          <w:sz w:val="24"/>
          <w:szCs w:val="24"/>
        </w:rPr>
      </w:pPr>
      <w:hyperlink r:id="rId13" w:history="1">
        <w:r w:rsidR="004133FE" w:rsidRPr="004133FE">
          <w:rPr>
            <w:rStyle w:val="Hyperlink"/>
            <w:sz w:val="24"/>
            <w:szCs w:val="24"/>
          </w:rPr>
          <w:t>Hawaii Real Estate Commission Bulletin, November 2017</w:t>
        </w:r>
      </w:hyperlink>
    </w:p>
    <w:p w:rsidR="00684F17" w:rsidRPr="004133FE" w:rsidRDefault="004133FE" w:rsidP="00684F17">
      <w:pPr>
        <w:rPr>
          <w:sz w:val="24"/>
          <w:szCs w:val="24"/>
        </w:rPr>
      </w:pPr>
      <w:r w:rsidRPr="002D1D8C">
        <w:t>Explanation of state laws and regulations relating to real estate teams.</w:t>
      </w:r>
      <w:r w:rsidR="00DF244C" w:rsidRPr="002D1D8C">
        <w:t xml:space="preserve"> </w:t>
      </w:r>
      <w:r w:rsidR="002D1D8C">
        <w:t>The article notes that</w:t>
      </w:r>
      <w:r w:rsidR="00DA58E3">
        <w:t xml:space="preserve"> Hawaii law requires advertisements to include either the brokerage name or a registered trade name used by the brokerage. The team name may be included in addition to the brokerage name.</w:t>
      </w:r>
    </w:p>
    <w:p w:rsidR="00684F17" w:rsidRPr="004133FE" w:rsidRDefault="004133FE" w:rsidP="00684F17">
      <w:pPr>
        <w:rPr>
          <w:sz w:val="24"/>
          <w:szCs w:val="24"/>
        </w:rPr>
      </w:pPr>
      <w:r>
        <w:rPr>
          <w:sz w:val="24"/>
          <w:szCs w:val="24"/>
        </w:rPr>
        <w:t>Issue</w:t>
      </w:r>
      <w:r w:rsidR="006C2C51" w:rsidRPr="004133FE">
        <w:rPr>
          <w:sz w:val="24"/>
          <w:szCs w:val="24"/>
        </w:rPr>
        <w:t xml:space="preserve"> Date: </w:t>
      </w:r>
      <w:r>
        <w:rPr>
          <w:sz w:val="24"/>
          <w:szCs w:val="24"/>
        </w:rPr>
        <w:t>November</w:t>
      </w:r>
      <w:r w:rsidR="006C2C51" w:rsidRPr="004133FE">
        <w:rPr>
          <w:sz w:val="24"/>
          <w:szCs w:val="24"/>
        </w:rPr>
        <w:t xml:space="preserve">, 2017 – </w:t>
      </w:r>
      <w:r>
        <w:rPr>
          <w:sz w:val="24"/>
          <w:szCs w:val="24"/>
        </w:rPr>
        <w:t>Interpretation</w:t>
      </w:r>
      <w:r w:rsidR="00684F17" w:rsidRPr="004133FE">
        <w:rPr>
          <w:sz w:val="24"/>
          <w:szCs w:val="24"/>
        </w:rPr>
        <w:t xml:space="preserve"> </w:t>
      </w:r>
    </w:p>
    <w:p w:rsidR="00684F17" w:rsidRPr="004133FE" w:rsidRDefault="00684F17" w:rsidP="00684F17">
      <w:pPr>
        <w:rPr>
          <w:sz w:val="24"/>
          <w:szCs w:val="24"/>
        </w:rPr>
      </w:pPr>
    </w:p>
    <w:p w:rsidR="00684F17" w:rsidRPr="004133FE" w:rsidRDefault="004133FE" w:rsidP="00684F17">
      <w:pPr>
        <w:rPr>
          <w:b/>
          <w:sz w:val="24"/>
          <w:szCs w:val="24"/>
          <w:u w:val="single"/>
        </w:rPr>
      </w:pPr>
      <w:r>
        <w:rPr>
          <w:b/>
          <w:sz w:val="24"/>
          <w:szCs w:val="24"/>
          <w:u w:val="single"/>
        </w:rPr>
        <w:t>Idaho</w:t>
      </w:r>
      <w:r w:rsidR="00684F17" w:rsidRPr="004133FE">
        <w:rPr>
          <w:b/>
          <w:sz w:val="24"/>
          <w:szCs w:val="24"/>
          <w:u w:val="single"/>
        </w:rPr>
        <w:t xml:space="preserve"> – </w:t>
      </w:r>
      <w:r>
        <w:rPr>
          <w:b/>
          <w:sz w:val="24"/>
          <w:szCs w:val="24"/>
          <w:u w:val="single"/>
        </w:rPr>
        <w:t>Advertising</w:t>
      </w:r>
    </w:p>
    <w:p w:rsidR="00A1643A" w:rsidRDefault="00D71573" w:rsidP="00684F17">
      <w:pPr>
        <w:rPr>
          <w:sz w:val="24"/>
          <w:szCs w:val="24"/>
        </w:rPr>
      </w:pPr>
      <w:hyperlink r:id="rId14" w:history="1">
        <w:r w:rsidR="00A1643A" w:rsidRPr="00A1643A">
          <w:rPr>
            <w:rStyle w:val="Hyperlink"/>
            <w:sz w:val="24"/>
            <w:szCs w:val="24"/>
          </w:rPr>
          <w:t xml:space="preserve">Idaho Real Estate Commission, The Real </w:t>
        </w:r>
        <w:proofErr w:type="spellStart"/>
        <w:r w:rsidR="00A1643A" w:rsidRPr="00A1643A">
          <w:rPr>
            <w:rStyle w:val="Hyperlink"/>
            <w:sz w:val="24"/>
            <w:szCs w:val="24"/>
          </w:rPr>
          <w:t>Estatement</w:t>
        </w:r>
        <w:proofErr w:type="spellEnd"/>
        <w:r w:rsidR="00A1643A" w:rsidRPr="00A1643A">
          <w:rPr>
            <w:rStyle w:val="Hyperlink"/>
            <w:sz w:val="24"/>
            <w:szCs w:val="24"/>
          </w:rPr>
          <w:t>, July 2017</w:t>
        </w:r>
      </w:hyperlink>
    </w:p>
    <w:p w:rsidR="00684F17" w:rsidRPr="004133FE" w:rsidRDefault="00A1643A" w:rsidP="00684F17">
      <w:pPr>
        <w:rPr>
          <w:sz w:val="24"/>
          <w:szCs w:val="24"/>
        </w:rPr>
      </w:pPr>
      <w:r w:rsidRPr="00CC0445">
        <w:rPr>
          <w:sz w:val="24"/>
          <w:szCs w:val="24"/>
        </w:rPr>
        <w:t>The Idaho Real Estate Commission published a newsletter article explaining the changes</w:t>
      </w:r>
      <w:r w:rsidR="00CC0445" w:rsidRPr="00CC0445">
        <w:rPr>
          <w:sz w:val="24"/>
          <w:szCs w:val="24"/>
        </w:rPr>
        <w:t xml:space="preserve"> to the state’s advertising law.</w:t>
      </w:r>
      <w:r w:rsidR="00CC0445">
        <w:rPr>
          <w:sz w:val="24"/>
          <w:szCs w:val="24"/>
        </w:rPr>
        <w:t xml:space="preserve"> The article notes that the new law states that a broker’s name must appear “clearly and conspicuously” on all advertisements.</w:t>
      </w:r>
    </w:p>
    <w:p w:rsidR="006C2C51" w:rsidRPr="004133FE" w:rsidRDefault="00822204" w:rsidP="006C2C51">
      <w:pPr>
        <w:rPr>
          <w:sz w:val="24"/>
          <w:szCs w:val="24"/>
        </w:rPr>
      </w:pPr>
      <w:r>
        <w:rPr>
          <w:sz w:val="24"/>
          <w:szCs w:val="24"/>
        </w:rPr>
        <w:t>Issue</w:t>
      </w:r>
      <w:r w:rsidR="00684F17" w:rsidRPr="004133FE">
        <w:rPr>
          <w:sz w:val="24"/>
          <w:szCs w:val="24"/>
        </w:rPr>
        <w:t xml:space="preserve"> Date:  </w:t>
      </w:r>
      <w:r>
        <w:rPr>
          <w:sz w:val="24"/>
          <w:szCs w:val="24"/>
        </w:rPr>
        <w:t>July</w:t>
      </w:r>
      <w:r w:rsidR="00684F17" w:rsidRPr="004133FE">
        <w:rPr>
          <w:sz w:val="24"/>
          <w:szCs w:val="24"/>
        </w:rPr>
        <w:t xml:space="preserve"> 2017</w:t>
      </w:r>
      <w:r w:rsidR="006C2C51" w:rsidRPr="004133FE">
        <w:rPr>
          <w:sz w:val="24"/>
          <w:szCs w:val="24"/>
        </w:rPr>
        <w:t xml:space="preserve"> – </w:t>
      </w:r>
      <w:r>
        <w:rPr>
          <w:sz w:val="24"/>
          <w:szCs w:val="24"/>
        </w:rPr>
        <w:t>Interpretation</w:t>
      </w:r>
    </w:p>
    <w:p w:rsidR="00A1643A" w:rsidRPr="00822204" w:rsidRDefault="00A1643A" w:rsidP="00A1643A">
      <w:pPr>
        <w:rPr>
          <w:b/>
          <w:sz w:val="24"/>
          <w:szCs w:val="24"/>
          <w:u w:val="single"/>
        </w:rPr>
      </w:pPr>
      <w:r w:rsidRPr="00822204">
        <w:rPr>
          <w:b/>
          <w:sz w:val="24"/>
          <w:szCs w:val="24"/>
          <w:u w:val="single"/>
        </w:rPr>
        <w:lastRenderedPageBreak/>
        <w:t>Iowa – Property Condition Disclosures</w:t>
      </w:r>
    </w:p>
    <w:p w:rsidR="00822204" w:rsidRPr="00822204" w:rsidRDefault="00D71573" w:rsidP="00A1643A">
      <w:pPr>
        <w:rPr>
          <w:sz w:val="24"/>
          <w:szCs w:val="24"/>
        </w:rPr>
      </w:pPr>
      <w:hyperlink r:id="rId15" w:history="1">
        <w:r w:rsidR="00822204" w:rsidRPr="00822204">
          <w:rPr>
            <w:rStyle w:val="Hyperlink"/>
            <w:sz w:val="24"/>
            <w:szCs w:val="24"/>
          </w:rPr>
          <w:t>Iowa Code § 558A.2 (2017)</w:t>
        </w:r>
      </w:hyperlink>
    </w:p>
    <w:p w:rsidR="00822204" w:rsidRPr="00822204" w:rsidRDefault="00822204" w:rsidP="00822204">
      <w:pPr>
        <w:jc w:val="both"/>
        <w:rPr>
          <w:sz w:val="24"/>
          <w:szCs w:val="24"/>
        </w:rPr>
      </w:pPr>
      <w:r w:rsidRPr="00822204">
        <w:rPr>
          <w:sz w:val="24"/>
          <w:szCs w:val="24"/>
        </w:rPr>
        <w:t>Legislation passed in 2017 amends the definition of “transfer” in the property condition disclosure law to exclude conveyances to a person within the third-degree of consanguinity or affinity. The amendment also authorizes electronic delivery of a property condition disclosure statement.</w:t>
      </w:r>
    </w:p>
    <w:p w:rsidR="00A1643A" w:rsidRPr="00822204" w:rsidRDefault="00A1643A" w:rsidP="00A1643A">
      <w:pPr>
        <w:rPr>
          <w:sz w:val="24"/>
          <w:szCs w:val="24"/>
        </w:rPr>
      </w:pPr>
      <w:r w:rsidRPr="00822204">
        <w:rPr>
          <w:sz w:val="24"/>
          <w:szCs w:val="24"/>
        </w:rPr>
        <w:t>Effective Date:  June 12, 2017 – Amended Statute</w:t>
      </w:r>
    </w:p>
    <w:p w:rsidR="00A1643A" w:rsidRPr="00822204" w:rsidRDefault="00A1643A" w:rsidP="00A1643A">
      <w:pPr>
        <w:rPr>
          <w:sz w:val="24"/>
          <w:szCs w:val="24"/>
        </w:rPr>
      </w:pPr>
    </w:p>
    <w:p w:rsidR="00822204" w:rsidRPr="00822204" w:rsidRDefault="00822204" w:rsidP="00822204">
      <w:pPr>
        <w:rPr>
          <w:b/>
          <w:sz w:val="24"/>
          <w:szCs w:val="24"/>
          <w:u w:val="single"/>
        </w:rPr>
      </w:pPr>
      <w:r>
        <w:rPr>
          <w:b/>
          <w:sz w:val="24"/>
          <w:szCs w:val="24"/>
          <w:u w:val="single"/>
        </w:rPr>
        <w:t>Kansas</w:t>
      </w:r>
      <w:r w:rsidRPr="00822204">
        <w:rPr>
          <w:b/>
          <w:sz w:val="24"/>
          <w:szCs w:val="24"/>
          <w:u w:val="single"/>
        </w:rPr>
        <w:t xml:space="preserve"> – </w:t>
      </w:r>
      <w:r>
        <w:rPr>
          <w:b/>
          <w:sz w:val="24"/>
          <w:szCs w:val="24"/>
          <w:u w:val="single"/>
        </w:rPr>
        <w:t>“Coming Soon” Advertisements</w:t>
      </w:r>
    </w:p>
    <w:p w:rsidR="00822204" w:rsidRPr="00822204" w:rsidRDefault="00D71573" w:rsidP="00822204">
      <w:pPr>
        <w:rPr>
          <w:sz w:val="24"/>
          <w:szCs w:val="24"/>
        </w:rPr>
      </w:pPr>
      <w:hyperlink r:id="rId16" w:history="1">
        <w:r w:rsidR="00822204" w:rsidRPr="00822204">
          <w:rPr>
            <w:rStyle w:val="Hyperlink"/>
            <w:sz w:val="24"/>
            <w:szCs w:val="24"/>
          </w:rPr>
          <w:t>Kansas Real Estate Commission Newsletter, October 2017</w:t>
        </w:r>
      </w:hyperlink>
    </w:p>
    <w:p w:rsidR="00822204" w:rsidRPr="00D97B04" w:rsidRDefault="00822204" w:rsidP="00822204">
      <w:pPr>
        <w:jc w:val="both"/>
        <w:rPr>
          <w:sz w:val="24"/>
          <w:szCs w:val="24"/>
        </w:rPr>
      </w:pPr>
      <w:r w:rsidRPr="00D97B04">
        <w:rPr>
          <w:sz w:val="24"/>
          <w:szCs w:val="24"/>
        </w:rPr>
        <w:t>Reminder regarding requirements for “Coming Soon” advertising</w:t>
      </w:r>
      <w:r w:rsidR="00D97B04">
        <w:rPr>
          <w:sz w:val="24"/>
          <w:szCs w:val="24"/>
        </w:rPr>
        <w:t>. Licensees are reminded that they must have “an effective agreement to market the property” before placing a sign on the property.</w:t>
      </w:r>
    </w:p>
    <w:p w:rsidR="00822204" w:rsidRPr="00822204" w:rsidRDefault="00822204" w:rsidP="00822204">
      <w:pPr>
        <w:rPr>
          <w:sz w:val="24"/>
          <w:szCs w:val="24"/>
        </w:rPr>
      </w:pPr>
      <w:r>
        <w:rPr>
          <w:sz w:val="24"/>
          <w:szCs w:val="24"/>
        </w:rPr>
        <w:t>Issue</w:t>
      </w:r>
      <w:r w:rsidRPr="00822204">
        <w:rPr>
          <w:sz w:val="24"/>
          <w:szCs w:val="24"/>
        </w:rPr>
        <w:t xml:space="preserve"> Date:  </w:t>
      </w:r>
      <w:r>
        <w:rPr>
          <w:sz w:val="24"/>
          <w:szCs w:val="24"/>
        </w:rPr>
        <w:t>October</w:t>
      </w:r>
      <w:r w:rsidRPr="00822204">
        <w:rPr>
          <w:sz w:val="24"/>
          <w:szCs w:val="24"/>
        </w:rPr>
        <w:t xml:space="preserve"> 2017 – </w:t>
      </w:r>
      <w:r>
        <w:rPr>
          <w:sz w:val="24"/>
          <w:szCs w:val="24"/>
        </w:rPr>
        <w:t>Interpretation</w:t>
      </w:r>
    </w:p>
    <w:p w:rsidR="00822204" w:rsidRPr="00822204" w:rsidRDefault="00822204" w:rsidP="00822204">
      <w:pPr>
        <w:rPr>
          <w:sz w:val="24"/>
          <w:szCs w:val="24"/>
        </w:rPr>
      </w:pPr>
    </w:p>
    <w:p w:rsidR="00822204" w:rsidRPr="001D3AB9" w:rsidRDefault="00822204" w:rsidP="00822204">
      <w:pPr>
        <w:rPr>
          <w:b/>
          <w:sz w:val="24"/>
          <w:szCs w:val="24"/>
          <w:u w:val="single"/>
        </w:rPr>
      </w:pPr>
      <w:r w:rsidRPr="001D3AB9">
        <w:rPr>
          <w:b/>
          <w:sz w:val="24"/>
          <w:szCs w:val="24"/>
          <w:u w:val="single"/>
        </w:rPr>
        <w:t>Maryland – Definition of “Breach of Fiduciary Duty”</w:t>
      </w:r>
    </w:p>
    <w:p w:rsidR="00822204" w:rsidRPr="001D3AB9" w:rsidRDefault="00D71573" w:rsidP="00822204">
      <w:pPr>
        <w:rPr>
          <w:sz w:val="24"/>
          <w:szCs w:val="24"/>
        </w:rPr>
      </w:pPr>
      <w:hyperlink r:id="rId17" w:history="1">
        <w:r w:rsidR="00822204" w:rsidRPr="001D3AB9">
          <w:rPr>
            <w:rStyle w:val="Hyperlink"/>
            <w:sz w:val="24"/>
            <w:szCs w:val="24"/>
          </w:rPr>
          <w:t>Md. Code Ann. Bus. Occ. &amp; Prof. § 17-532 (2017)</w:t>
        </w:r>
      </w:hyperlink>
    </w:p>
    <w:p w:rsidR="00822204" w:rsidRPr="001D3AB9" w:rsidRDefault="001D3AB9" w:rsidP="00822204">
      <w:pPr>
        <w:jc w:val="both"/>
        <w:rPr>
          <w:sz w:val="24"/>
          <w:szCs w:val="24"/>
        </w:rPr>
      </w:pPr>
      <w:r w:rsidRPr="001D3AB9">
        <w:rPr>
          <w:sz w:val="24"/>
          <w:szCs w:val="24"/>
        </w:rPr>
        <w:t>As amended, the law states that it is not a breach of duty or obligation to discuss other properties with prospective buyers or lessees at an open house, if the licensee has the written consent of the seller or lessor to do so</w:t>
      </w:r>
      <w:r w:rsidR="00822204" w:rsidRPr="001D3AB9">
        <w:rPr>
          <w:sz w:val="24"/>
          <w:szCs w:val="24"/>
        </w:rPr>
        <w:t>.</w:t>
      </w:r>
    </w:p>
    <w:p w:rsidR="001D3AB9" w:rsidRPr="001D3AB9" w:rsidRDefault="001D3AB9" w:rsidP="001D3AB9">
      <w:pPr>
        <w:rPr>
          <w:sz w:val="24"/>
          <w:szCs w:val="24"/>
        </w:rPr>
      </w:pPr>
      <w:r w:rsidRPr="001D3AB9">
        <w:rPr>
          <w:sz w:val="24"/>
          <w:szCs w:val="24"/>
        </w:rPr>
        <w:t>Effective Date:  October 1, 2017 – Amended Statute</w:t>
      </w:r>
    </w:p>
    <w:p w:rsidR="00822204" w:rsidRPr="001D3AB9" w:rsidRDefault="00822204" w:rsidP="00822204">
      <w:pPr>
        <w:rPr>
          <w:sz w:val="24"/>
          <w:szCs w:val="24"/>
        </w:rPr>
      </w:pPr>
    </w:p>
    <w:p w:rsidR="00684F17" w:rsidRPr="004133FE" w:rsidRDefault="001D3AB9" w:rsidP="00684F17">
      <w:pPr>
        <w:rPr>
          <w:b/>
          <w:sz w:val="24"/>
          <w:szCs w:val="24"/>
          <w:u w:val="single"/>
        </w:rPr>
      </w:pPr>
      <w:r>
        <w:rPr>
          <w:b/>
          <w:sz w:val="24"/>
          <w:szCs w:val="24"/>
          <w:u w:val="single"/>
        </w:rPr>
        <w:t>Missouri</w:t>
      </w:r>
      <w:r w:rsidR="00684F17" w:rsidRPr="004133FE">
        <w:rPr>
          <w:b/>
          <w:sz w:val="24"/>
          <w:szCs w:val="24"/>
          <w:u w:val="single"/>
        </w:rPr>
        <w:t xml:space="preserve"> – </w:t>
      </w:r>
      <w:r>
        <w:rPr>
          <w:b/>
          <w:sz w:val="24"/>
          <w:szCs w:val="24"/>
          <w:u w:val="single"/>
        </w:rPr>
        <w:t>Teams</w:t>
      </w:r>
    </w:p>
    <w:p w:rsidR="00684F17" w:rsidRPr="004133FE" w:rsidRDefault="00D71573" w:rsidP="00684F17">
      <w:pPr>
        <w:rPr>
          <w:sz w:val="24"/>
          <w:szCs w:val="24"/>
        </w:rPr>
      </w:pPr>
      <w:hyperlink r:id="rId18" w:history="1">
        <w:r w:rsidR="001D3AB9" w:rsidRPr="001D3AB9">
          <w:rPr>
            <w:rStyle w:val="Hyperlink"/>
            <w:sz w:val="24"/>
            <w:szCs w:val="24"/>
          </w:rPr>
          <w:t>Missouri Real Estate Commission News Bulletin, July 2017</w:t>
        </w:r>
      </w:hyperlink>
    </w:p>
    <w:p w:rsidR="00684F17" w:rsidRPr="004133FE" w:rsidRDefault="001D3AB9" w:rsidP="00684F17">
      <w:pPr>
        <w:rPr>
          <w:sz w:val="24"/>
          <w:szCs w:val="24"/>
        </w:rPr>
      </w:pPr>
      <w:r w:rsidRPr="008E7147">
        <w:rPr>
          <w:sz w:val="24"/>
          <w:szCs w:val="24"/>
        </w:rPr>
        <w:t>Newsletter article explaining the rules regarding team advertising.</w:t>
      </w:r>
      <w:r w:rsidR="00DF244C" w:rsidRPr="008E7147">
        <w:rPr>
          <w:sz w:val="24"/>
          <w:szCs w:val="24"/>
        </w:rPr>
        <w:t xml:space="preserve"> </w:t>
      </w:r>
      <w:r w:rsidR="008E7147" w:rsidRPr="008E7147">
        <w:rPr>
          <w:sz w:val="24"/>
          <w:szCs w:val="24"/>
        </w:rPr>
        <w:t>Team names need to be registered as trade names with the Missouri Secretary of State and with the Missouri Real Estate Commission.</w:t>
      </w:r>
    </w:p>
    <w:p w:rsidR="006C2C51" w:rsidRPr="004133FE" w:rsidRDefault="001D3AB9" w:rsidP="006C2C51">
      <w:pPr>
        <w:rPr>
          <w:sz w:val="24"/>
          <w:szCs w:val="24"/>
        </w:rPr>
      </w:pPr>
      <w:r>
        <w:rPr>
          <w:sz w:val="24"/>
          <w:szCs w:val="24"/>
        </w:rPr>
        <w:lastRenderedPageBreak/>
        <w:t>Issue</w:t>
      </w:r>
      <w:r w:rsidR="00684F17" w:rsidRPr="004133FE">
        <w:rPr>
          <w:sz w:val="24"/>
          <w:szCs w:val="24"/>
        </w:rPr>
        <w:t xml:space="preserve"> Date:  </w:t>
      </w:r>
      <w:r>
        <w:rPr>
          <w:sz w:val="24"/>
          <w:szCs w:val="24"/>
        </w:rPr>
        <w:t>July</w:t>
      </w:r>
      <w:r w:rsidR="00684F17" w:rsidRPr="004133FE">
        <w:rPr>
          <w:sz w:val="24"/>
          <w:szCs w:val="24"/>
        </w:rPr>
        <w:t xml:space="preserve"> 2017</w:t>
      </w:r>
      <w:r w:rsidR="006C2C51" w:rsidRPr="004133FE">
        <w:rPr>
          <w:sz w:val="24"/>
          <w:szCs w:val="24"/>
        </w:rPr>
        <w:t xml:space="preserve"> – </w:t>
      </w:r>
      <w:r>
        <w:rPr>
          <w:sz w:val="24"/>
          <w:szCs w:val="24"/>
        </w:rPr>
        <w:t>Interpretation</w:t>
      </w:r>
    </w:p>
    <w:p w:rsidR="00684F17" w:rsidRPr="004133FE" w:rsidRDefault="00684F17" w:rsidP="00684F17">
      <w:pPr>
        <w:rPr>
          <w:sz w:val="24"/>
          <w:szCs w:val="24"/>
        </w:rPr>
      </w:pPr>
    </w:p>
    <w:p w:rsidR="00684F17" w:rsidRPr="004133FE" w:rsidRDefault="00684F17" w:rsidP="00684F17">
      <w:pPr>
        <w:rPr>
          <w:b/>
          <w:sz w:val="24"/>
          <w:szCs w:val="24"/>
          <w:u w:val="single"/>
        </w:rPr>
      </w:pPr>
      <w:r w:rsidRPr="004133FE">
        <w:rPr>
          <w:b/>
          <w:sz w:val="24"/>
          <w:szCs w:val="24"/>
          <w:u w:val="single"/>
        </w:rPr>
        <w:t xml:space="preserve">Nebraska – </w:t>
      </w:r>
      <w:r w:rsidR="001D3AB9">
        <w:rPr>
          <w:b/>
          <w:sz w:val="24"/>
          <w:szCs w:val="24"/>
          <w:u w:val="single"/>
        </w:rPr>
        <w:t>Broker Liability</w:t>
      </w:r>
    </w:p>
    <w:p w:rsidR="00684F17" w:rsidRPr="004133FE" w:rsidRDefault="00D71573" w:rsidP="00684F17">
      <w:pPr>
        <w:rPr>
          <w:sz w:val="24"/>
          <w:szCs w:val="24"/>
        </w:rPr>
      </w:pPr>
      <w:hyperlink r:id="rId19" w:history="1">
        <w:r w:rsidR="001D3AB9" w:rsidRPr="001D3AB9">
          <w:rPr>
            <w:rStyle w:val="Hyperlink"/>
          </w:rPr>
          <w:t>Neb. Rev. Stat. Ch.  25, art. 2</w:t>
        </w:r>
      </w:hyperlink>
    </w:p>
    <w:p w:rsidR="001D3AB9" w:rsidRPr="001D3AB9" w:rsidRDefault="001D3AB9" w:rsidP="001D3AB9">
      <w:pPr>
        <w:rPr>
          <w:sz w:val="24"/>
          <w:szCs w:val="24"/>
        </w:rPr>
      </w:pPr>
      <w:r w:rsidRPr="001D3AB9">
        <w:rPr>
          <w:sz w:val="24"/>
          <w:szCs w:val="24"/>
        </w:rPr>
        <w:t>The statute of limitations for actions against real estate licensees is two years from either the completion of the transaction, the termination of the agency agreement, or the termination or expiration of an unconsummated transaction. If a cause of action could not reasonably have been discovered in two years, the action may be commenced within one year of the date of discovery.</w:t>
      </w:r>
    </w:p>
    <w:p w:rsidR="006123AB" w:rsidRPr="004133FE" w:rsidRDefault="00684F17" w:rsidP="006123AB">
      <w:pPr>
        <w:rPr>
          <w:sz w:val="24"/>
          <w:szCs w:val="24"/>
        </w:rPr>
      </w:pPr>
      <w:r w:rsidRPr="004133FE">
        <w:rPr>
          <w:sz w:val="24"/>
          <w:szCs w:val="24"/>
        </w:rPr>
        <w:t xml:space="preserve">Effective Date:  </w:t>
      </w:r>
      <w:r w:rsidR="001D3AB9">
        <w:rPr>
          <w:sz w:val="24"/>
          <w:szCs w:val="24"/>
        </w:rPr>
        <w:t>August 24</w:t>
      </w:r>
      <w:r w:rsidRPr="004133FE">
        <w:rPr>
          <w:sz w:val="24"/>
          <w:szCs w:val="24"/>
        </w:rPr>
        <w:t>, 2017</w:t>
      </w:r>
      <w:r w:rsidR="006123AB" w:rsidRPr="004133FE">
        <w:rPr>
          <w:sz w:val="24"/>
          <w:szCs w:val="24"/>
        </w:rPr>
        <w:t xml:space="preserve"> – </w:t>
      </w:r>
      <w:r w:rsidR="001D3AB9">
        <w:rPr>
          <w:sz w:val="24"/>
          <w:szCs w:val="24"/>
        </w:rPr>
        <w:t>New Statute</w:t>
      </w:r>
    </w:p>
    <w:p w:rsidR="00684F17" w:rsidRPr="004133FE" w:rsidRDefault="00684F17" w:rsidP="00684F17">
      <w:pPr>
        <w:rPr>
          <w:sz w:val="24"/>
          <w:szCs w:val="24"/>
        </w:rPr>
      </w:pPr>
    </w:p>
    <w:p w:rsidR="00684F17" w:rsidRPr="00237BB9" w:rsidRDefault="00684F17" w:rsidP="00684F17">
      <w:pPr>
        <w:rPr>
          <w:b/>
          <w:sz w:val="24"/>
          <w:szCs w:val="24"/>
          <w:u w:val="single"/>
        </w:rPr>
      </w:pPr>
      <w:r w:rsidRPr="00237BB9">
        <w:rPr>
          <w:b/>
          <w:sz w:val="24"/>
          <w:szCs w:val="24"/>
          <w:u w:val="single"/>
        </w:rPr>
        <w:t xml:space="preserve">Nebraska – </w:t>
      </w:r>
      <w:r w:rsidR="00843D0E" w:rsidRPr="00237BB9">
        <w:rPr>
          <w:b/>
          <w:sz w:val="24"/>
          <w:szCs w:val="24"/>
          <w:u w:val="single"/>
        </w:rPr>
        <w:t>“Coming Soon” Listings</w:t>
      </w:r>
    </w:p>
    <w:p w:rsidR="00684F17" w:rsidRPr="00237BB9" w:rsidRDefault="00D71573" w:rsidP="00684F17">
      <w:pPr>
        <w:rPr>
          <w:sz w:val="24"/>
          <w:szCs w:val="24"/>
        </w:rPr>
      </w:pPr>
      <w:hyperlink r:id="rId20" w:anchor="PI40" w:history="1">
        <w:r w:rsidR="00237BB9" w:rsidRPr="00237BB9">
          <w:rPr>
            <w:rStyle w:val="Hyperlink"/>
            <w:sz w:val="24"/>
            <w:szCs w:val="24"/>
          </w:rPr>
          <w:t>Nebraska Real Estate Commission Policy and Interpretation 40</w:t>
        </w:r>
      </w:hyperlink>
    </w:p>
    <w:p w:rsidR="00684F17" w:rsidRPr="00237BB9" w:rsidRDefault="00237BB9" w:rsidP="00684F17">
      <w:pPr>
        <w:rPr>
          <w:sz w:val="24"/>
          <w:szCs w:val="24"/>
        </w:rPr>
      </w:pPr>
      <w:r w:rsidRPr="00DE639A">
        <w:rPr>
          <w:sz w:val="24"/>
          <w:szCs w:val="24"/>
        </w:rPr>
        <w:t>Sets out Commission policies regarding “coming soon” advertising</w:t>
      </w:r>
      <w:r w:rsidR="00DE639A" w:rsidRPr="00DE639A">
        <w:rPr>
          <w:sz w:val="24"/>
          <w:szCs w:val="24"/>
        </w:rPr>
        <w:t>. Nebraska has no specific rules or laws on such advertising, but the Commission interprets the general advertising rules as requiring an active listing agreement and consent of the owner before property can be advertised.</w:t>
      </w:r>
      <w:r w:rsidR="00684F17" w:rsidRPr="00237BB9">
        <w:rPr>
          <w:sz w:val="24"/>
          <w:szCs w:val="24"/>
        </w:rPr>
        <w:t xml:space="preserve">   </w:t>
      </w:r>
    </w:p>
    <w:p w:rsidR="006123AB" w:rsidRPr="00237BB9" w:rsidRDefault="00684F17" w:rsidP="006123AB">
      <w:pPr>
        <w:rPr>
          <w:sz w:val="24"/>
          <w:szCs w:val="24"/>
        </w:rPr>
      </w:pPr>
      <w:r w:rsidRPr="00237BB9">
        <w:rPr>
          <w:sz w:val="24"/>
          <w:szCs w:val="24"/>
        </w:rPr>
        <w:t xml:space="preserve">Effective Date:  </w:t>
      </w:r>
      <w:r w:rsidR="00237BB9" w:rsidRPr="00237BB9">
        <w:rPr>
          <w:sz w:val="24"/>
          <w:szCs w:val="24"/>
        </w:rPr>
        <w:t>September 28</w:t>
      </w:r>
      <w:r w:rsidRPr="00237BB9">
        <w:rPr>
          <w:sz w:val="24"/>
          <w:szCs w:val="24"/>
        </w:rPr>
        <w:t>, 2017</w:t>
      </w:r>
      <w:r w:rsidR="006123AB" w:rsidRPr="00237BB9">
        <w:rPr>
          <w:sz w:val="24"/>
          <w:szCs w:val="24"/>
        </w:rPr>
        <w:t xml:space="preserve"> – </w:t>
      </w:r>
      <w:r w:rsidR="00237BB9" w:rsidRPr="00237BB9">
        <w:rPr>
          <w:sz w:val="24"/>
          <w:szCs w:val="24"/>
        </w:rPr>
        <w:t>Interpretation</w:t>
      </w:r>
    </w:p>
    <w:p w:rsidR="00684F17" w:rsidRPr="00237BB9" w:rsidRDefault="00684F17" w:rsidP="00684F17">
      <w:pPr>
        <w:rPr>
          <w:sz w:val="24"/>
          <w:szCs w:val="24"/>
        </w:rPr>
      </w:pPr>
    </w:p>
    <w:p w:rsidR="00684F17" w:rsidRPr="004133FE" w:rsidRDefault="00237BB9" w:rsidP="00684F17">
      <w:pPr>
        <w:rPr>
          <w:b/>
          <w:sz w:val="24"/>
          <w:szCs w:val="24"/>
          <w:u w:val="single"/>
        </w:rPr>
      </w:pPr>
      <w:r>
        <w:rPr>
          <w:b/>
          <w:sz w:val="24"/>
          <w:szCs w:val="24"/>
          <w:u w:val="single"/>
        </w:rPr>
        <w:t>New Jersey</w:t>
      </w:r>
      <w:r w:rsidR="00684F17" w:rsidRPr="004133FE">
        <w:rPr>
          <w:b/>
          <w:sz w:val="24"/>
          <w:szCs w:val="24"/>
          <w:u w:val="single"/>
        </w:rPr>
        <w:t xml:space="preserve"> – </w:t>
      </w:r>
      <w:r>
        <w:rPr>
          <w:b/>
          <w:sz w:val="24"/>
          <w:szCs w:val="24"/>
          <w:u w:val="single"/>
        </w:rPr>
        <w:t>Independent Contractors</w:t>
      </w:r>
    </w:p>
    <w:p w:rsidR="00237BB9" w:rsidRPr="00237BB9" w:rsidRDefault="00D71573" w:rsidP="00684F17">
      <w:pPr>
        <w:rPr>
          <w:sz w:val="24"/>
          <w:szCs w:val="24"/>
        </w:rPr>
      </w:pPr>
      <w:hyperlink r:id="rId21" w:history="1">
        <w:r w:rsidR="00237BB9" w:rsidRPr="00237BB9">
          <w:rPr>
            <w:rStyle w:val="Hyperlink"/>
            <w:sz w:val="24"/>
            <w:szCs w:val="24"/>
          </w:rPr>
          <w:t>N.J.A.C. 11:5-4.1</w:t>
        </w:r>
      </w:hyperlink>
    </w:p>
    <w:p w:rsidR="00684F17" w:rsidRPr="00237BB9" w:rsidRDefault="00237BB9" w:rsidP="00684F17">
      <w:pPr>
        <w:rPr>
          <w:sz w:val="24"/>
          <w:szCs w:val="24"/>
        </w:rPr>
      </w:pPr>
      <w:r w:rsidRPr="00237BB9">
        <w:rPr>
          <w:sz w:val="24"/>
          <w:szCs w:val="24"/>
        </w:rPr>
        <w:t>Clarifies that an independent contractor relationship between a broker and a broker salesperson, salesperson, or referral agent is permissible</w:t>
      </w:r>
      <w:r w:rsidR="00684F17" w:rsidRPr="00237BB9">
        <w:rPr>
          <w:sz w:val="24"/>
          <w:szCs w:val="24"/>
        </w:rPr>
        <w:t xml:space="preserve">. </w:t>
      </w:r>
    </w:p>
    <w:p w:rsidR="00684F17" w:rsidRDefault="00684F17" w:rsidP="00684F17">
      <w:pPr>
        <w:rPr>
          <w:sz w:val="24"/>
          <w:szCs w:val="24"/>
        </w:rPr>
      </w:pPr>
      <w:r w:rsidRPr="004133FE">
        <w:rPr>
          <w:sz w:val="24"/>
          <w:szCs w:val="24"/>
        </w:rPr>
        <w:t xml:space="preserve">Effective Date:  July </w:t>
      </w:r>
      <w:r w:rsidR="00237BB9">
        <w:rPr>
          <w:sz w:val="24"/>
          <w:szCs w:val="24"/>
        </w:rPr>
        <w:t>3</w:t>
      </w:r>
      <w:r w:rsidRPr="004133FE">
        <w:rPr>
          <w:sz w:val="24"/>
          <w:szCs w:val="24"/>
        </w:rPr>
        <w:t>, 2017</w:t>
      </w:r>
      <w:r w:rsidR="00842AE0" w:rsidRPr="004133FE">
        <w:rPr>
          <w:sz w:val="24"/>
          <w:szCs w:val="24"/>
        </w:rPr>
        <w:t xml:space="preserve"> – Amended </w:t>
      </w:r>
      <w:r w:rsidR="00237BB9">
        <w:rPr>
          <w:sz w:val="24"/>
          <w:szCs w:val="24"/>
        </w:rPr>
        <w:t>Regulation</w:t>
      </w:r>
    </w:p>
    <w:p w:rsidR="00DF244C" w:rsidRPr="004133FE" w:rsidRDefault="00DF244C" w:rsidP="00684F17">
      <w:pPr>
        <w:rPr>
          <w:sz w:val="24"/>
          <w:szCs w:val="24"/>
        </w:rPr>
      </w:pPr>
    </w:p>
    <w:p w:rsidR="00237BB9" w:rsidRPr="00237BB9" w:rsidRDefault="00237BB9" w:rsidP="00237BB9">
      <w:pPr>
        <w:rPr>
          <w:b/>
          <w:sz w:val="24"/>
          <w:szCs w:val="24"/>
          <w:u w:val="single"/>
        </w:rPr>
      </w:pPr>
      <w:r w:rsidRPr="00237BB9">
        <w:rPr>
          <w:b/>
          <w:sz w:val="24"/>
          <w:szCs w:val="24"/>
          <w:u w:val="single"/>
        </w:rPr>
        <w:t>North Dakota – “Coming Soon” Listings</w:t>
      </w:r>
    </w:p>
    <w:p w:rsidR="00237BB9" w:rsidRPr="00237BB9" w:rsidRDefault="00D71573" w:rsidP="00237BB9">
      <w:pPr>
        <w:rPr>
          <w:sz w:val="24"/>
          <w:szCs w:val="24"/>
        </w:rPr>
      </w:pPr>
      <w:hyperlink r:id="rId22" w:history="1">
        <w:r w:rsidR="00237BB9" w:rsidRPr="00237BB9">
          <w:rPr>
            <w:rStyle w:val="Hyperlink"/>
            <w:sz w:val="24"/>
            <w:szCs w:val="24"/>
          </w:rPr>
          <w:t>North Dakota Real Estate Commission News &amp; Views, Fall 2017</w:t>
        </w:r>
      </w:hyperlink>
    </w:p>
    <w:p w:rsidR="00237BB9" w:rsidRPr="00237BB9" w:rsidRDefault="00DE639A" w:rsidP="00237BB9">
      <w:pPr>
        <w:jc w:val="both"/>
        <w:rPr>
          <w:sz w:val="24"/>
          <w:szCs w:val="24"/>
        </w:rPr>
      </w:pPr>
      <w:r>
        <w:rPr>
          <w:sz w:val="24"/>
          <w:szCs w:val="24"/>
        </w:rPr>
        <w:lastRenderedPageBreak/>
        <w:t>North Dakota law requires a signed listing agreement before an advertisement may be placed. The client should also agree with the advertising approach taken.</w:t>
      </w:r>
    </w:p>
    <w:p w:rsidR="00237BB9" w:rsidRPr="00237BB9" w:rsidRDefault="00237BB9" w:rsidP="00237BB9">
      <w:pPr>
        <w:rPr>
          <w:sz w:val="24"/>
          <w:szCs w:val="24"/>
        </w:rPr>
      </w:pPr>
      <w:r w:rsidRPr="00237BB9">
        <w:rPr>
          <w:sz w:val="24"/>
          <w:szCs w:val="24"/>
        </w:rPr>
        <w:t>Issue Date:  Fall 2017 – Interpretation</w:t>
      </w:r>
    </w:p>
    <w:p w:rsidR="00237BB9" w:rsidRDefault="00237BB9">
      <w:pPr>
        <w:rPr>
          <w:b/>
          <w:sz w:val="24"/>
          <w:szCs w:val="24"/>
          <w:u w:val="single"/>
        </w:rPr>
      </w:pPr>
    </w:p>
    <w:p w:rsidR="00684F17" w:rsidRPr="00237BB9" w:rsidRDefault="00684F17" w:rsidP="00684F17">
      <w:pPr>
        <w:rPr>
          <w:b/>
          <w:sz w:val="24"/>
          <w:szCs w:val="24"/>
          <w:u w:val="single"/>
        </w:rPr>
      </w:pPr>
      <w:r w:rsidRPr="00237BB9">
        <w:rPr>
          <w:b/>
          <w:sz w:val="24"/>
          <w:szCs w:val="24"/>
          <w:u w:val="single"/>
        </w:rPr>
        <w:t xml:space="preserve">Texas – </w:t>
      </w:r>
      <w:r w:rsidR="00237BB9" w:rsidRPr="00237BB9">
        <w:rPr>
          <w:b/>
          <w:sz w:val="24"/>
          <w:szCs w:val="24"/>
          <w:u w:val="single"/>
        </w:rPr>
        <w:t>Internet Advertising</w:t>
      </w:r>
    </w:p>
    <w:p w:rsidR="00684F17" w:rsidRPr="00237BB9" w:rsidRDefault="00D71573" w:rsidP="00684F17">
      <w:pPr>
        <w:rPr>
          <w:sz w:val="24"/>
          <w:szCs w:val="24"/>
        </w:rPr>
      </w:pPr>
      <w:hyperlink r:id="rId23" w:history="1">
        <w:r w:rsidR="00237BB9" w:rsidRPr="00237BB9">
          <w:rPr>
            <w:rStyle w:val="Hyperlink"/>
            <w:sz w:val="24"/>
            <w:szCs w:val="24"/>
          </w:rPr>
          <w:t>22 Tex. A.D.C. § 531.18 (2017)</w:t>
        </w:r>
      </w:hyperlink>
    </w:p>
    <w:p w:rsidR="00684F17" w:rsidRPr="00237BB9" w:rsidRDefault="00237BB9" w:rsidP="00684F17">
      <w:pPr>
        <w:rPr>
          <w:sz w:val="24"/>
          <w:szCs w:val="24"/>
        </w:rPr>
      </w:pPr>
      <w:r w:rsidRPr="00315D33">
        <w:rPr>
          <w:sz w:val="24"/>
          <w:szCs w:val="24"/>
        </w:rPr>
        <w:t>The amended regulation provides two options for the mandatory internet link to the Real Estate Commission consumer protection notice.</w:t>
      </w:r>
      <w:r w:rsidR="00315D33">
        <w:rPr>
          <w:sz w:val="24"/>
          <w:szCs w:val="24"/>
        </w:rPr>
        <w:t xml:space="preserve"> The link must appear on all internet advertising, and must be labeled either “TREC Consumer Protection Notice” in at least 12 point font, or “Texas Real Estate Commission Consumer Protection Notice” in at least 10 point font.</w:t>
      </w:r>
    </w:p>
    <w:p w:rsidR="00684F17" w:rsidRPr="00237BB9" w:rsidRDefault="00684F17" w:rsidP="00684F17">
      <w:pPr>
        <w:rPr>
          <w:sz w:val="24"/>
          <w:szCs w:val="24"/>
        </w:rPr>
      </w:pPr>
      <w:r w:rsidRPr="00237BB9">
        <w:rPr>
          <w:sz w:val="24"/>
          <w:szCs w:val="24"/>
        </w:rPr>
        <w:t xml:space="preserve">Effective Date:  </w:t>
      </w:r>
      <w:r w:rsidR="00237BB9" w:rsidRPr="00237BB9">
        <w:rPr>
          <w:sz w:val="24"/>
          <w:szCs w:val="24"/>
        </w:rPr>
        <w:t>December 1</w:t>
      </w:r>
      <w:r w:rsidRPr="00237BB9">
        <w:rPr>
          <w:sz w:val="24"/>
          <w:szCs w:val="24"/>
        </w:rPr>
        <w:t>, 2017</w:t>
      </w:r>
      <w:r w:rsidR="00842AE0" w:rsidRPr="00237BB9">
        <w:rPr>
          <w:sz w:val="24"/>
          <w:szCs w:val="24"/>
        </w:rPr>
        <w:t xml:space="preserve"> – Amended Regulation </w:t>
      </w:r>
    </w:p>
    <w:p w:rsidR="00237BB9" w:rsidRDefault="00237BB9">
      <w:pPr>
        <w:rPr>
          <w:b/>
          <w:sz w:val="24"/>
          <w:szCs w:val="24"/>
          <w:u w:val="single"/>
        </w:rPr>
      </w:pPr>
    </w:p>
    <w:p w:rsidR="002422F3" w:rsidRPr="002422F3" w:rsidRDefault="002422F3" w:rsidP="002422F3">
      <w:pPr>
        <w:rPr>
          <w:b/>
          <w:sz w:val="24"/>
          <w:szCs w:val="24"/>
          <w:u w:val="single"/>
        </w:rPr>
      </w:pPr>
      <w:r w:rsidRPr="002422F3">
        <w:rPr>
          <w:b/>
          <w:sz w:val="24"/>
          <w:szCs w:val="24"/>
          <w:u w:val="single"/>
        </w:rPr>
        <w:t xml:space="preserve">Utah – </w:t>
      </w:r>
      <w:r w:rsidR="00595AEF">
        <w:rPr>
          <w:b/>
          <w:sz w:val="24"/>
          <w:szCs w:val="24"/>
          <w:u w:val="single"/>
        </w:rPr>
        <w:t>Contract Addenda</w:t>
      </w:r>
    </w:p>
    <w:p w:rsidR="002422F3" w:rsidRPr="002422F3" w:rsidRDefault="00D71573" w:rsidP="002422F3">
      <w:pPr>
        <w:rPr>
          <w:sz w:val="24"/>
          <w:szCs w:val="24"/>
        </w:rPr>
      </w:pPr>
      <w:hyperlink r:id="rId24" w:history="1">
        <w:r w:rsidR="002422F3" w:rsidRPr="002422F3">
          <w:rPr>
            <w:rStyle w:val="Hyperlink"/>
            <w:sz w:val="24"/>
            <w:szCs w:val="24"/>
          </w:rPr>
          <w:t>Utah Real Estate Division Newsletter, Fourth Quarter 2017</w:t>
        </w:r>
      </w:hyperlink>
    </w:p>
    <w:p w:rsidR="002422F3" w:rsidRPr="002422F3" w:rsidRDefault="002422F3" w:rsidP="002422F3">
      <w:pPr>
        <w:jc w:val="both"/>
        <w:rPr>
          <w:sz w:val="24"/>
          <w:szCs w:val="24"/>
        </w:rPr>
      </w:pPr>
      <w:r w:rsidRPr="00315D33">
        <w:rPr>
          <w:sz w:val="24"/>
          <w:szCs w:val="24"/>
        </w:rPr>
        <w:t>Article discussing the legal implications of the use of addenda to documents.</w:t>
      </w:r>
      <w:r w:rsidR="00315D33">
        <w:rPr>
          <w:sz w:val="24"/>
          <w:szCs w:val="24"/>
        </w:rPr>
        <w:t xml:space="preserve"> Addenda are used to change or add detail to standard form contracts. Changes to contracts must be done by use of an addendum, and not by altering the physical document. </w:t>
      </w:r>
    </w:p>
    <w:p w:rsidR="002422F3" w:rsidRDefault="002422F3" w:rsidP="002422F3">
      <w:pPr>
        <w:rPr>
          <w:sz w:val="24"/>
          <w:szCs w:val="24"/>
        </w:rPr>
      </w:pPr>
      <w:r w:rsidRPr="002422F3">
        <w:rPr>
          <w:sz w:val="24"/>
          <w:szCs w:val="24"/>
        </w:rPr>
        <w:t xml:space="preserve">Issue Date:  Winter 2017 – Interpretation </w:t>
      </w:r>
    </w:p>
    <w:p w:rsidR="002422F3" w:rsidRPr="002422F3" w:rsidRDefault="002422F3" w:rsidP="002422F3">
      <w:pPr>
        <w:rPr>
          <w:sz w:val="24"/>
          <w:szCs w:val="24"/>
        </w:rPr>
      </w:pPr>
    </w:p>
    <w:p w:rsidR="002422F3" w:rsidRPr="002422F3" w:rsidRDefault="002422F3" w:rsidP="002422F3">
      <w:pPr>
        <w:rPr>
          <w:b/>
          <w:sz w:val="24"/>
          <w:szCs w:val="24"/>
          <w:u w:val="single"/>
        </w:rPr>
      </w:pPr>
      <w:r>
        <w:rPr>
          <w:b/>
          <w:sz w:val="24"/>
          <w:szCs w:val="24"/>
          <w:u w:val="single"/>
        </w:rPr>
        <w:t>Washington</w:t>
      </w:r>
      <w:r w:rsidRPr="002422F3">
        <w:rPr>
          <w:b/>
          <w:sz w:val="24"/>
          <w:szCs w:val="24"/>
          <w:u w:val="single"/>
        </w:rPr>
        <w:t xml:space="preserve"> – </w:t>
      </w:r>
      <w:r>
        <w:rPr>
          <w:b/>
          <w:sz w:val="24"/>
          <w:szCs w:val="24"/>
          <w:u w:val="single"/>
        </w:rPr>
        <w:t>Advertising</w:t>
      </w:r>
    </w:p>
    <w:p w:rsidR="002422F3" w:rsidRDefault="00D71573" w:rsidP="002422F3">
      <w:pPr>
        <w:jc w:val="both"/>
        <w:rPr>
          <w:sz w:val="24"/>
          <w:szCs w:val="24"/>
        </w:rPr>
      </w:pPr>
      <w:hyperlink r:id="rId25" w:history="1">
        <w:r w:rsidR="002422F3" w:rsidRPr="002422F3">
          <w:rPr>
            <w:rStyle w:val="Hyperlink"/>
            <w:sz w:val="24"/>
            <w:szCs w:val="24"/>
          </w:rPr>
          <w:t>Washington Department of Licensing Real Estate Advertising Guidelines</w:t>
        </w:r>
      </w:hyperlink>
    </w:p>
    <w:p w:rsidR="002422F3" w:rsidRPr="002422F3" w:rsidRDefault="00C037DC" w:rsidP="002422F3">
      <w:pPr>
        <w:jc w:val="both"/>
        <w:rPr>
          <w:sz w:val="24"/>
          <w:szCs w:val="24"/>
        </w:rPr>
      </w:pPr>
      <w:r w:rsidRPr="00C037DC">
        <w:rPr>
          <w:sz w:val="24"/>
          <w:szCs w:val="24"/>
        </w:rPr>
        <w:t>The Washington Department of Licensing issued comprehensive guidelines for advertising by real estate licensees. All advertising must include the firm’s licensed name in a clear and conspicuous manner.  “Clear and conspicuous” means that the firm name must be “presented in a manner so as to be readily noticed and understood.”  All Internet advertising must include the firm name as well as the broker’s or managing broker’s name. This information must be included on every viewable page of a licensee website.  The guidance provides examples of deceptive or misleading advertisements.</w:t>
      </w:r>
      <w:r>
        <w:rPr>
          <w:sz w:val="24"/>
          <w:szCs w:val="24"/>
        </w:rPr>
        <w:t xml:space="preserve">   </w:t>
      </w:r>
    </w:p>
    <w:p w:rsidR="00237BB9" w:rsidRPr="00237BB9" w:rsidRDefault="002422F3">
      <w:pPr>
        <w:rPr>
          <w:b/>
          <w:sz w:val="24"/>
          <w:szCs w:val="24"/>
          <w:u w:val="single"/>
        </w:rPr>
      </w:pPr>
      <w:r w:rsidRPr="002422F3">
        <w:rPr>
          <w:sz w:val="24"/>
          <w:szCs w:val="24"/>
        </w:rPr>
        <w:t xml:space="preserve">Issue Date:  </w:t>
      </w:r>
      <w:r>
        <w:rPr>
          <w:sz w:val="24"/>
          <w:szCs w:val="24"/>
        </w:rPr>
        <w:t>October</w:t>
      </w:r>
      <w:r w:rsidRPr="002422F3">
        <w:rPr>
          <w:sz w:val="24"/>
          <w:szCs w:val="24"/>
        </w:rPr>
        <w:t xml:space="preserve"> 2017 – Interpretation </w:t>
      </w:r>
    </w:p>
    <w:sectPr w:rsidR="00237BB9" w:rsidRPr="00237BB9" w:rsidSect="00364E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10A"/>
    <w:rsid w:val="000414D3"/>
    <w:rsid w:val="00066D74"/>
    <w:rsid w:val="000809BA"/>
    <w:rsid w:val="000A32D3"/>
    <w:rsid w:val="000F28DF"/>
    <w:rsid w:val="00174A0A"/>
    <w:rsid w:val="001D3AB9"/>
    <w:rsid w:val="002075AE"/>
    <w:rsid w:val="00237BB9"/>
    <w:rsid w:val="002422F3"/>
    <w:rsid w:val="00294513"/>
    <w:rsid w:val="002D1D8C"/>
    <w:rsid w:val="00315D33"/>
    <w:rsid w:val="0034587D"/>
    <w:rsid w:val="00364E50"/>
    <w:rsid w:val="0037539B"/>
    <w:rsid w:val="00383E4D"/>
    <w:rsid w:val="003A36A8"/>
    <w:rsid w:val="004133FE"/>
    <w:rsid w:val="004C670B"/>
    <w:rsid w:val="00506E29"/>
    <w:rsid w:val="00535B16"/>
    <w:rsid w:val="00547113"/>
    <w:rsid w:val="00595AEF"/>
    <w:rsid w:val="005C46B8"/>
    <w:rsid w:val="005E4B63"/>
    <w:rsid w:val="005F2232"/>
    <w:rsid w:val="006123AB"/>
    <w:rsid w:val="00684F17"/>
    <w:rsid w:val="006C2C51"/>
    <w:rsid w:val="00717A33"/>
    <w:rsid w:val="007C540E"/>
    <w:rsid w:val="00822204"/>
    <w:rsid w:val="00842AE0"/>
    <w:rsid w:val="00843D0E"/>
    <w:rsid w:val="008E7147"/>
    <w:rsid w:val="009521A8"/>
    <w:rsid w:val="00A1643A"/>
    <w:rsid w:val="00B04FDB"/>
    <w:rsid w:val="00B075B6"/>
    <w:rsid w:val="00B5378A"/>
    <w:rsid w:val="00B80EB2"/>
    <w:rsid w:val="00BC3A41"/>
    <w:rsid w:val="00C037DC"/>
    <w:rsid w:val="00C11EA7"/>
    <w:rsid w:val="00C57579"/>
    <w:rsid w:val="00CC0445"/>
    <w:rsid w:val="00CC52C2"/>
    <w:rsid w:val="00D71573"/>
    <w:rsid w:val="00D97B04"/>
    <w:rsid w:val="00DA58E3"/>
    <w:rsid w:val="00DB710A"/>
    <w:rsid w:val="00DD7D2D"/>
    <w:rsid w:val="00DE639A"/>
    <w:rsid w:val="00DF244C"/>
    <w:rsid w:val="00E6635A"/>
    <w:rsid w:val="00E75130"/>
    <w:rsid w:val="00E97ABF"/>
    <w:rsid w:val="00EB39CF"/>
    <w:rsid w:val="00EE38FC"/>
    <w:rsid w:val="00FD609F"/>
    <w:rsid w:val="00FD6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2C51"/>
    <w:rPr>
      <w:color w:val="0000FF" w:themeColor="hyperlink"/>
      <w:u w:val="single"/>
    </w:rPr>
  </w:style>
  <w:style w:type="character" w:styleId="FollowedHyperlink">
    <w:name w:val="FollowedHyperlink"/>
    <w:basedOn w:val="DefaultParagraphFont"/>
    <w:uiPriority w:val="99"/>
    <w:semiHidden/>
    <w:unhideWhenUsed/>
    <w:rsid w:val="00C11EA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2C51"/>
    <w:rPr>
      <w:color w:val="0000FF" w:themeColor="hyperlink"/>
      <w:u w:val="single"/>
    </w:rPr>
  </w:style>
  <w:style w:type="character" w:styleId="FollowedHyperlink">
    <w:name w:val="FollowedHyperlink"/>
    <w:basedOn w:val="DefaultParagraphFont"/>
    <w:uiPriority w:val="99"/>
    <w:semiHidden/>
    <w:unhideWhenUsed/>
    <w:rsid w:val="00C11E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nfo.legislature.ca.gov/faces/codes_displaySection.xhtml?lawCode=CIV&amp;sectionNum=1098.5." TargetMode="External"/><Relationship Id="rId13" Type="http://schemas.openxmlformats.org/officeDocument/2006/relationships/hyperlink" Target="https://cca.hawaii.gov/reb/files/2017/11/bull1711.pdf" TargetMode="External"/><Relationship Id="rId18" Type="http://schemas.openxmlformats.org/officeDocument/2006/relationships/hyperlink" Target="http://pr.mo.gov/boards/realestate/newsletters/2017-07-01.pdf"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state.nj.us/dobi/proposed/prn16_159.pdf" TargetMode="External"/><Relationship Id="rId7" Type="http://schemas.openxmlformats.org/officeDocument/2006/relationships/hyperlink" Target="https://leginfo.legislature.ca.gov/faces/codes_displaySection.xhtml?lawCode=BPC&amp;sectionNum=10145." TargetMode="External"/><Relationship Id="rId12" Type="http://schemas.openxmlformats.org/officeDocument/2006/relationships/hyperlink" Target="https://search.cga.state.ct.us/r/basic/dtsearch.asp?cmd=getdoc&amp;DocId=12597&amp;Index=I%3a%5czindex%5c2017&amp;HitCount=4&amp;hits=1e+1f+314+315+&amp;hc=4&amp;req=17%2D169&amp;Item=0" TargetMode="External"/><Relationship Id="rId17" Type="http://schemas.openxmlformats.org/officeDocument/2006/relationships/hyperlink" Target="http://mgaleg.maryland.gov/webmga/frmStatutesText.aspx?article=gbo&amp;section=17-532&amp;ext=html&amp;session=2018RS&amp;tab=subject5" TargetMode="External"/><Relationship Id="rId25" Type="http://schemas.openxmlformats.org/officeDocument/2006/relationships/hyperlink" Target="http://www.dol.wa.gov/business/realestate/docs/620400.pdf" TargetMode="External"/><Relationship Id="rId2" Type="http://schemas.openxmlformats.org/officeDocument/2006/relationships/styles" Target="styles.xml"/><Relationship Id="rId16" Type="http://schemas.openxmlformats.org/officeDocument/2006/relationships/hyperlink" Target="https://www.krec.ks.gov/docs/default-source/newsletters/2017_10_krec_newsletter.pdf?sfvrsn=4" TargetMode="External"/><Relationship Id="rId20" Type="http://schemas.openxmlformats.org/officeDocument/2006/relationships/hyperlink" Target="http://www.nrec.ne.gov/legal/policyinterpretation.html" TargetMode="External"/><Relationship Id="rId1" Type="http://schemas.openxmlformats.org/officeDocument/2006/relationships/customXml" Target="../customXml/item1.xml"/><Relationship Id="rId6" Type="http://schemas.openxmlformats.org/officeDocument/2006/relationships/hyperlink" Target="http://www.azre.gov/LawBook/Documents/SPS_Documents/SPS_2017.01_Unlicensed_Assistants.pdf" TargetMode="External"/><Relationship Id="rId11" Type="http://schemas.openxmlformats.org/officeDocument/2006/relationships/hyperlink" Target="https://www.cga.ct.gov/current/pub/chap_392.htm" TargetMode="External"/><Relationship Id="rId24" Type="http://schemas.openxmlformats.org/officeDocument/2006/relationships/hyperlink" Target="https://realestate.utah.gov/newsletters/newsletter_q4-2017.pdf" TargetMode="External"/><Relationship Id="rId5" Type="http://schemas.openxmlformats.org/officeDocument/2006/relationships/webSettings" Target="webSettings.xml"/><Relationship Id="rId15" Type="http://schemas.openxmlformats.org/officeDocument/2006/relationships/hyperlink" Target="https://www.legis.iowa.gov/docs/code/2018/558A.2.pdf" TargetMode="External"/><Relationship Id="rId23" Type="http://schemas.openxmlformats.org/officeDocument/2006/relationships/hyperlink" Target="https://www.trec.texas.gov/agency-information/rules-and-laws/trec-rules" TargetMode="External"/><Relationship Id="rId10" Type="http://schemas.openxmlformats.org/officeDocument/2006/relationships/hyperlink" Target="https://leginfo.legislature.ca.gov/faces/codes_displaySection.xhtml?lawCode=BPC&amp;sectionNum=10145." TargetMode="External"/><Relationship Id="rId19" Type="http://schemas.openxmlformats.org/officeDocument/2006/relationships/hyperlink" Target="https://nebraskalegislature.gov/FloorDocs/105/PDF/Slip/LB257.pdf" TargetMode="External"/><Relationship Id="rId4" Type="http://schemas.openxmlformats.org/officeDocument/2006/relationships/settings" Target="settings.xml"/><Relationship Id="rId9" Type="http://schemas.openxmlformats.org/officeDocument/2006/relationships/hyperlink" Target="https://leginfo.legislature.ca.gov/faces/codes_displaySection.xhtml?lawCode=BPC&amp;sectionNum=7197." TargetMode="External"/><Relationship Id="rId14" Type="http://schemas.openxmlformats.org/officeDocument/2006/relationships/hyperlink" Target="https://realestatecommission.idaho.gov/realestatement/re0717.pdf" TargetMode="External"/><Relationship Id="rId22" Type="http://schemas.openxmlformats.org/officeDocument/2006/relationships/hyperlink" Target="https://www.realestatend.org/image/cache/Fall2017.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784D0-125D-45DA-9126-66863CE63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1443</Words>
  <Characters>8228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Menard</dc:creator>
  <cp:lastModifiedBy>Travis Rush</cp:lastModifiedBy>
  <cp:revision>2</cp:revision>
  <dcterms:created xsi:type="dcterms:W3CDTF">2018-04-17T14:54:00Z</dcterms:created>
  <dcterms:modified xsi:type="dcterms:W3CDTF">2018-04-17T14:54:00Z</dcterms:modified>
</cp:coreProperties>
</file>