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17" w:rsidRPr="002075AE" w:rsidRDefault="00684F17" w:rsidP="00684F17">
      <w:pPr>
        <w:jc w:val="center"/>
        <w:rPr>
          <w:b/>
          <w:sz w:val="24"/>
          <w:szCs w:val="24"/>
          <w:u w:val="single"/>
        </w:rPr>
      </w:pPr>
      <w:bookmarkStart w:id="0" w:name="_GoBack"/>
      <w:bookmarkEnd w:id="0"/>
      <w:r w:rsidRPr="002075AE">
        <w:rPr>
          <w:b/>
          <w:sz w:val="24"/>
          <w:szCs w:val="24"/>
          <w:u w:val="single"/>
        </w:rPr>
        <w:t>ARELLO Archive</w:t>
      </w:r>
    </w:p>
    <w:p w:rsidR="00290D41" w:rsidRPr="001368DE" w:rsidRDefault="00290D41" w:rsidP="00290D41">
      <w:pPr>
        <w:rPr>
          <w:b/>
          <w:sz w:val="24"/>
          <w:szCs w:val="24"/>
          <w:u w:val="single"/>
        </w:rPr>
      </w:pPr>
      <w:r w:rsidRPr="001368DE">
        <w:rPr>
          <w:b/>
          <w:sz w:val="24"/>
          <w:szCs w:val="24"/>
          <w:u w:val="single"/>
        </w:rPr>
        <w:t>North Carolina – Drones</w:t>
      </w:r>
    </w:p>
    <w:p w:rsidR="00290D41" w:rsidRPr="002A52AD" w:rsidRDefault="00290D41" w:rsidP="00290D41">
      <w:pPr>
        <w:rPr>
          <w:rStyle w:val="Hyperlink"/>
          <w:sz w:val="24"/>
          <w:szCs w:val="24"/>
          <w:highlight w:val="yellow"/>
        </w:rPr>
      </w:pPr>
      <w:r w:rsidRPr="002A52AD">
        <w:rPr>
          <w:sz w:val="24"/>
          <w:szCs w:val="24"/>
          <w:highlight w:val="yellow"/>
        </w:rPr>
        <w:fldChar w:fldCharType="begin"/>
      </w:r>
      <w:r w:rsidRPr="002A52AD">
        <w:rPr>
          <w:sz w:val="24"/>
          <w:szCs w:val="24"/>
          <w:highlight w:val="yellow"/>
        </w:rPr>
        <w:instrText xml:space="preserve"> HYPERLINK "http://www.ncleg.net/sessions/2017/bills/house/pdf/h337v3.pdf" </w:instrText>
      </w:r>
      <w:r w:rsidRPr="002A52AD">
        <w:rPr>
          <w:sz w:val="24"/>
          <w:szCs w:val="24"/>
          <w:highlight w:val="yellow"/>
        </w:rPr>
        <w:fldChar w:fldCharType="separate"/>
      </w:r>
      <w:r w:rsidRPr="002A52AD">
        <w:rPr>
          <w:rStyle w:val="Hyperlink"/>
          <w:sz w:val="24"/>
          <w:szCs w:val="24"/>
          <w:highlight w:val="yellow"/>
        </w:rPr>
        <w:t>N.C. Gen. Stat. § 63-94 (2017)</w:t>
      </w:r>
    </w:p>
    <w:p w:rsidR="00290D41" w:rsidRPr="002A52AD" w:rsidRDefault="00290D41" w:rsidP="00290D41">
      <w:pPr>
        <w:rPr>
          <w:sz w:val="24"/>
          <w:szCs w:val="24"/>
          <w:highlight w:val="yellow"/>
        </w:rPr>
      </w:pPr>
      <w:r w:rsidRPr="002A52AD">
        <w:rPr>
          <w:sz w:val="24"/>
          <w:szCs w:val="24"/>
          <w:highlight w:val="yellow"/>
        </w:rPr>
        <w:fldChar w:fldCharType="end"/>
      </w:r>
      <w:r w:rsidRPr="002A52AD">
        <w:rPr>
          <w:sz w:val="24"/>
          <w:szCs w:val="24"/>
          <w:highlight w:val="yellow"/>
        </w:rPr>
        <w:t xml:space="preserve">Permit requirements for the use of drones do not apply to model aircraft that are flown solely for hobby or recreational purposes without compensation. </w:t>
      </w:r>
    </w:p>
    <w:p w:rsidR="00290D41" w:rsidRDefault="00290D41" w:rsidP="00290D41">
      <w:pPr>
        <w:rPr>
          <w:sz w:val="24"/>
          <w:szCs w:val="24"/>
        </w:rPr>
      </w:pPr>
      <w:r w:rsidRPr="002A52AD">
        <w:rPr>
          <w:sz w:val="24"/>
          <w:szCs w:val="24"/>
          <w:highlight w:val="yellow"/>
        </w:rPr>
        <w:t>Effective Date:  December 1, 2017</w:t>
      </w:r>
      <w:r w:rsidRPr="002A52AD">
        <w:rPr>
          <w:highlight w:val="yellow"/>
        </w:rPr>
        <w:t xml:space="preserve"> - New</w:t>
      </w:r>
      <w:r w:rsidRPr="002A52AD">
        <w:rPr>
          <w:sz w:val="24"/>
          <w:szCs w:val="24"/>
          <w:highlight w:val="yellow"/>
        </w:rPr>
        <w:t xml:space="preserve"> Statute</w:t>
      </w:r>
      <w:r w:rsidRPr="002075AE">
        <w:rPr>
          <w:sz w:val="24"/>
          <w:szCs w:val="24"/>
        </w:rPr>
        <w:t xml:space="preserve"> </w:t>
      </w:r>
    </w:p>
    <w:p w:rsidR="00290D41" w:rsidRDefault="00290D41" w:rsidP="00684F17">
      <w:pPr>
        <w:rPr>
          <w:b/>
          <w:sz w:val="24"/>
          <w:szCs w:val="24"/>
          <w:u w:val="single"/>
        </w:rPr>
      </w:pPr>
    </w:p>
    <w:p w:rsidR="00290D41" w:rsidRPr="005810EB" w:rsidRDefault="00290D41" w:rsidP="00290D41">
      <w:pPr>
        <w:rPr>
          <w:b/>
          <w:sz w:val="24"/>
          <w:szCs w:val="24"/>
          <w:highlight w:val="yellow"/>
          <w:u w:val="single"/>
        </w:rPr>
      </w:pPr>
      <w:r w:rsidRPr="005810EB">
        <w:rPr>
          <w:b/>
          <w:sz w:val="24"/>
          <w:szCs w:val="24"/>
          <w:highlight w:val="yellow"/>
          <w:u w:val="single"/>
        </w:rPr>
        <w:t>Oregon – Association with Property Managers</w:t>
      </w:r>
    </w:p>
    <w:p w:rsidR="00290D41" w:rsidRPr="005810EB" w:rsidRDefault="006E4293" w:rsidP="00290D41">
      <w:pPr>
        <w:rPr>
          <w:sz w:val="24"/>
          <w:szCs w:val="24"/>
          <w:highlight w:val="yellow"/>
        </w:rPr>
      </w:pPr>
      <w:hyperlink r:id="rId5" w:history="1">
        <w:r w:rsidR="00290D41" w:rsidRPr="005810EB">
          <w:rPr>
            <w:rStyle w:val="Hyperlink"/>
            <w:sz w:val="24"/>
            <w:szCs w:val="24"/>
            <w:highlight w:val="yellow"/>
          </w:rPr>
          <w:t>Or. Rev. Stat. § 696.026 (2017)</w:t>
        </w:r>
      </w:hyperlink>
      <w:r w:rsidR="00290D41" w:rsidRPr="005810EB">
        <w:rPr>
          <w:sz w:val="24"/>
          <w:szCs w:val="24"/>
          <w:highlight w:val="yellow"/>
        </w:rPr>
        <w:t xml:space="preserve">; </w:t>
      </w:r>
      <w:hyperlink r:id="rId6" w:history="1">
        <w:r w:rsidR="00290D41" w:rsidRPr="005810EB">
          <w:rPr>
            <w:rStyle w:val="Hyperlink"/>
            <w:sz w:val="24"/>
            <w:szCs w:val="24"/>
            <w:highlight w:val="yellow"/>
          </w:rPr>
          <w:t>Or. Rev. Stat. § 696.310 (2017)</w:t>
        </w:r>
      </w:hyperlink>
    </w:p>
    <w:p w:rsidR="00290D41" w:rsidRPr="005810EB" w:rsidRDefault="00290D41" w:rsidP="00290D41">
      <w:pPr>
        <w:rPr>
          <w:sz w:val="24"/>
          <w:szCs w:val="24"/>
          <w:highlight w:val="yellow"/>
        </w:rPr>
      </w:pPr>
      <w:r w:rsidRPr="005810EB">
        <w:rPr>
          <w:sz w:val="24"/>
          <w:szCs w:val="24"/>
          <w:highlight w:val="yellow"/>
        </w:rPr>
        <w:t xml:space="preserve">If two or more principal brokers, or a principal broker and property manager, associate with the same business name, the parties must execute a written supervisory agreement that allocates supervisory control and responsibility for all of the associated parties.  A licensed real estate property manager associated with a real estate broker may have an ownership interest in the business through which the broker conducts professional real estate activity, but the property manager may not control or supervise the professional real estate activity of the broker.  </w:t>
      </w:r>
    </w:p>
    <w:p w:rsidR="00290D41" w:rsidRPr="002075AE" w:rsidRDefault="00290D41" w:rsidP="00290D41">
      <w:pPr>
        <w:rPr>
          <w:sz w:val="24"/>
          <w:szCs w:val="24"/>
        </w:rPr>
      </w:pPr>
      <w:r w:rsidRPr="005810EB">
        <w:rPr>
          <w:sz w:val="24"/>
          <w:szCs w:val="24"/>
          <w:highlight w:val="yellow"/>
        </w:rPr>
        <w:t>Effective Date:  June 6, 2017 – Amended Statute</w:t>
      </w:r>
    </w:p>
    <w:p w:rsidR="00290D41" w:rsidRDefault="00290D41" w:rsidP="00684F17">
      <w:pPr>
        <w:rPr>
          <w:b/>
          <w:sz w:val="24"/>
          <w:szCs w:val="24"/>
          <w:u w:val="single"/>
        </w:rPr>
      </w:pPr>
    </w:p>
    <w:p w:rsidR="00290D41" w:rsidRDefault="00290D41" w:rsidP="00290D41">
      <w:pPr>
        <w:rPr>
          <w:b/>
          <w:sz w:val="24"/>
          <w:szCs w:val="24"/>
          <w:u w:val="single"/>
        </w:rPr>
      </w:pPr>
      <w:r>
        <w:rPr>
          <w:b/>
          <w:sz w:val="24"/>
          <w:szCs w:val="24"/>
          <w:u w:val="single"/>
        </w:rPr>
        <w:t>Oregon</w:t>
      </w:r>
      <w:r w:rsidRPr="002075AE">
        <w:rPr>
          <w:b/>
          <w:sz w:val="24"/>
          <w:szCs w:val="24"/>
          <w:u w:val="single"/>
        </w:rPr>
        <w:t xml:space="preserve"> – D</w:t>
      </w:r>
      <w:r>
        <w:rPr>
          <w:b/>
          <w:sz w:val="24"/>
          <w:szCs w:val="24"/>
          <w:u w:val="single"/>
        </w:rPr>
        <w:t>rones</w:t>
      </w:r>
    </w:p>
    <w:p w:rsidR="00290D41" w:rsidRPr="005810EB" w:rsidRDefault="006E4293" w:rsidP="00290D41">
      <w:pPr>
        <w:rPr>
          <w:sz w:val="24"/>
          <w:szCs w:val="24"/>
          <w:highlight w:val="yellow"/>
        </w:rPr>
      </w:pPr>
      <w:hyperlink r:id="rId7" w:history="1">
        <w:r w:rsidR="00290D41" w:rsidRPr="005810EB">
          <w:rPr>
            <w:rStyle w:val="Hyperlink"/>
            <w:sz w:val="24"/>
            <w:szCs w:val="24"/>
            <w:highlight w:val="yellow"/>
          </w:rPr>
          <w:t>Or. Rev. Stat. § 837.300, Section 4 (2017)</w:t>
        </w:r>
      </w:hyperlink>
    </w:p>
    <w:p w:rsidR="00290D41" w:rsidRPr="005810EB" w:rsidRDefault="00290D41" w:rsidP="00290D41">
      <w:pPr>
        <w:rPr>
          <w:sz w:val="24"/>
          <w:szCs w:val="24"/>
          <w:highlight w:val="yellow"/>
        </w:rPr>
      </w:pPr>
      <w:r w:rsidRPr="005810EB">
        <w:rPr>
          <w:sz w:val="24"/>
          <w:szCs w:val="24"/>
          <w:highlight w:val="yellow"/>
        </w:rPr>
        <w:t>A person may not operate an unmanned aircraft system over the boundaries of privately owned premises in a manner to intentionally, knowingly, or recklessly harass or annoy the owner or occupant of the premises.</w:t>
      </w:r>
    </w:p>
    <w:p w:rsidR="00290D41" w:rsidRDefault="00290D41" w:rsidP="00290D41">
      <w:pPr>
        <w:rPr>
          <w:sz w:val="24"/>
          <w:szCs w:val="24"/>
        </w:rPr>
      </w:pPr>
      <w:r w:rsidRPr="005810EB">
        <w:rPr>
          <w:sz w:val="24"/>
          <w:szCs w:val="24"/>
          <w:highlight w:val="yellow"/>
        </w:rPr>
        <w:t>Effective Date:  June 29, 2017</w:t>
      </w:r>
      <w:r w:rsidRPr="005810EB">
        <w:rPr>
          <w:highlight w:val="yellow"/>
        </w:rPr>
        <w:t xml:space="preserve"> – New</w:t>
      </w:r>
      <w:r w:rsidRPr="005810EB">
        <w:rPr>
          <w:sz w:val="24"/>
          <w:szCs w:val="24"/>
          <w:highlight w:val="yellow"/>
        </w:rPr>
        <w:t xml:space="preserve"> Statute</w:t>
      </w:r>
      <w:r w:rsidRPr="002075AE">
        <w:rPr>
          <w:sz w:val="24"/>
          <w:szCs w:val="24"/>
        </w:rPr>
        <w:t xml:space="preserve"> </w:t>
      </w:r>
    </w:p>
    <w:p w:rsidR="00290D41" w:rsidRDefault="00290D41" w:rsidP="00290D41">
      <w:pPr>
        <w:rPr>
          <w:b/>
          <w:sz w:val="24"/>
          <w:szCs w:val="24"/>
          <w:u w:val="single"/>
        </w:rPr>
      </w:pPr>
    </w:p>
    <w:p w:rsidR="00290D41" w:rsidRPr="005810EB" w:rsidRDefault="00290D41" w:rsidP="00290D41">
      <w:pPr>
        <w:rPr>
          <w:b/>
          <w:sz w:val="24"/>
          <w:szCs w:val="24"/>
          <w:highlight w:val="yellow"/>
          <w:u w:val="single"/>
        </w:rPr>
      </w:pPr>
      <w:r w:rsidRPr="005810EB">
        <w:rPr>
          <w:b/>
          <w:sz w:val="24"/>
          <w:szCs w:val="24"/>
          <w:highlight w:val="yellow"/>
          <w:u w:val="single"/>
        </w:rPr>
        <w:t>Oregon – Licensee Discipline</w:t>
      </w:r>
    </w:p>
    <w:p w:rsidR="00290D41" w:rsidRPr="005810EB" w:rsidRDefault="006E4293" w:rsidP="00290D41">
      <w:pPr>
        <w:rPr>
          <w:sz w:val="24"/>
          <w:szCs w:val="24"/>
          <w:highlight w:val="yellow"/>
        </w:rPr>
      </w:pPr>
      <w:hyperlink r:id="rId8" w:history="1">
        <w:r w:rsidR="00290D41" w:rsidRPr="005810EB">
          <w:rPr>
            <w:rStyle w:val="Hyperlink"/>
            <w:sz w:val="24"/>
            <w:szCs w:val="24"/>
            <w:highlight w:val="yellow"/>
          </w:rPr>
          <w:t>Or. Rev. Stat. § 696, Section 2 (2017)</w:t>
        </w:r>
      </w:hyperlink>
    </w:p>
    <w:p w:rsidR="00290D41" w:rsidRPr="005810EB" w:rsidRDefault="00290D41" w:rsidP="00290D41">
      <w:pPr>
        <w:rPr>
          <w:sz w:val="24"/>
          <w:szCs w:val="24"/>
          <w:highlight w:val="yellow"/>
        </w:rPr>
      </w:pPr>
      <w:r w:rsidRPr="005810EB">
        <w:rPr>
          <w:sz w:val="24"/>
          <w:szCs w:val="24"/>
          <w:highlight w:val="yellow"/>
        </w:rPr>
        <w:lastRenderedPageBreak/>
        <w:t xml:space="preserve">A “persistent course of dealing” by a real estate licensee who violates a statute or rule “constitutes prima facie evidence that an associated real estate licensee had knowledge of the violation by the real estate licensee.” </w:t>
      </w:r>
    </w:p>
    <w:p w:rsidR="00290D41" w:rsidRPr="002075AE" w:rsidRDefault="00290D41" w:rsidP="00290D41">
      <w:pPr>
        <w:rPr>
          <w:sz w:val="24"/>
          <w:szCs w:val="24"/>
        </w:rPr>
      </w:pPr>
      <w:r w:rsidRPr="005810EB">
        <w:rPr>
          <w:sz w:val="24"/>
          <w:szCs w:val="24"/>
          <w:highlight w:val="yellow"/>
        </w:rPr>
        <w:t>Effective Date:  June 6, 2017 – Amended Statute</w:t>
      </w:r>
    </w:p>
    <w:p w:rsidR="00290D41" w:rsidRDefault="00290D41" w:rsidP="00290D41">
      <w:pPr>
        <w:rPr>
          <w:b/>
          <w:sz w:val="24"/>
          <w:szCs w:val="24"/>
          <w:u w:val="single"/>
        </w:rPr>
      </w:pPr>
    </w:p>
    <w:p w:rsidR="00290D41" w:rsidRPr="005810EB" w:rsidRDefault="00290D41" w:rsidP="00290D41">
      <w:pPr>
        <w:rPr>
          <w:b/>
          <w:sz w:val="24"/>
          <w:szCs w:val="24"/>
          <w:highlight w:val="yellow"/>
          <w:u w:val="single"/>
        </w:rPr>
      </w:pPr>
      <w:r w:rsidRPr="005810EB">
        <w:rPr>
          <w:b/>
          <w:sz w:val="24"/>
          <w:szCs w:val="24"/>
          <w:highlight w:val="yellow"/>
          <w:u w:val="single"/>
        </w:rPr>
        <w:t>Oregon – Seismic Risk Disclosure</w:t>
      </w:r>
    </w:p>
    <w:p w:rsidR="00290D41" w:rsidRPr="005810EB" w:rsidRDefault="006E4293" w:rsidP="00290D41">
      <w:pPr>
        <w:rPr>
          <w:sz w:val="24"/>
          <w:szCs w:val="24"/>
          <w:highlight w:val="yellow"/>
        </w:rPr>
      </w:pPr>
      <w:hyperlink r:id="rId9" w:history="1">
        <w:r w:rsidR="00290D41" w:rsidRPr="005810EB">
          <w:rPr>
            <w:rStyle w:val="Hyperlink"/>
            <w:sz w:val="24"/>
            <w:szCs w:val="24"/>
            <w:highlight w:val="yellow"/>
          </w:rPr>
          <w:t>Or. Rev. Stat. § 105.464 (2017)</w:t>
        </w:r>
      </w:hyperlink>
    </w:p>
    <w:p w:rsidR="00290D41" w:rsidRPr="005810EB" w:rsidRDefault="00290D41" w:rsidP="00290D41">
      <w:pPr>
        <w:rPr>
          <w:sz w:val="24"/>
          <w:szCs w:val="24"/>
          <w:highlight w:val="yellow"/>
        </w:rPr>
      </w:pPr>
      <w:r w:rsidRPr="005810EB">
        <w:rPr>
          <w:sz w:val="24"/>
          <w:szCs w:val="24"/>
          <w:highlight w:val="yellow"/>
        </w:rPr>
        <w:t xml:space="preserve">Oregon modified its Seller’s Property Disclosure Statement to include a disclosure regarding seismic risk.  Specifically, the amended statement includes the following questions: (1) Was the house constructed before 1974? and (2) Has the house been bolted to the foundation? </w:t>
      </w:r>
    </w:p>
    <w:p w:rsidR="00290D41" w:rsidRPr="001368DE" w:rsidRDefault="00290D41" w:rsidP="00290D41">
      <w:pPr>
        <w:rPr>
          <w:sz w:val="24"/>
          <w:szCs w:val="24"/>
        </w:rPr>
      </w:pPr>
      <w:r w:rsidRPr="005810EB">
        <w:rPr>
          <w:sz w:val="24"/>
          <w:szCs w:val="24"/>
          <w:highlight w:val="yellow"/>
        </w:rPr>
        <w:t>Effective Date:  May 25, 2017 – Amended Statute</w:t>
      </w:r>
    </w:p>
    <w:p w:rsidR="00290D41" w:rsidRDefault="00290D41" w:rsidP="00684F17">
      <w:pPr>
        <w:rPr>
          <w:b/>
          <w:sz w:val="24"/>
          <w:szCs w:val="24"/>
          <w:u w:val="single"/>
        </w:rPr>
      </w:pPr>
    </w:p>
    <w:p w:rsidR="00684F17" w:rsidRPr="005810EB" w:rsidRDefault="0032683C" w:rsidP="00684F17">
      <w:pPr>
        <w:rPr>
          <w:b/>
          <w:sz w:val="24"/>
          <w:szCs w:val="24"/>
          <w:highlight w:val="yellow"/>
          <w:u w:val="single"/>
        </w:rPr>
      </w:pPr>
      <w:r w:rsidRPr="005810EB">
        <w:rPr>
          <w:b/>
          <w:sz w:val="24"/>
          <w:szCs w:val="24"/>
          <w:highlight w:val="yellow"/>
          <w:u w:val="single"/>
        </w:rPr>
        <w:t>Oregon</w:t>
      </w:r>
      <w:r w:rsidR="00684F17" w:rsidRPr="005810EB">
        <w:rPr>
          <w:b/>
          <w:sz w:val="24"/>
          <w:szCs w:val="24"/>
          <w:highlight w:val="yellow"/>
          <w:u w:val="single"/>
        </w:rPr>
        <w:t xml:space="preserve"> – </w:t>
      </w:r>
      <w:r w:rsidRPr="005810EB">
        <w:rPr>
          <w:b/>
          <w:sz w:val="24"/>
          <w:szCs w:val="24"/>
          <w:highlight w:val="yellow"/>
          <w:u w:val="single"/>
        </w:rPr>
        <w:t>Trust Accounts</w:t>
      </w:r>
    </w:p>
    <w:p w:rsidR="0032683C" w:rsidRPr="005810EB" w:rsidRDefault="006E4293" w:rsidP="00684F17">
      <w:pPr>
        <w:rPr>
          <w:sz w:val="24"/>
          <w:szCs w:val="24"/>
          <w:highlight w:val="yellow"/>
        </w:rPr>
      </w:pPr>
      <w:hyperlink r:id="rId10" w:history="1">
        <w:r w:rsidR="0032683C" w:rsidRPr="005810EB">
          <w:rPr>
            <w:rStyle w:val="Hyperlink"/>
            <w:sz w:val="24"/>
            <w:szCs w:val="24"/>
            <w:highlight w:val="yellow"/>
          </w:rPr>
          <w:t>Or. Rev. Stat. § 696.241 (2017)</w:t>
        </w:r>
      </w:hyperlink>
    </w:p>
    <w:p w:rsidR="0032683C" w:rsidRPr="005810EB" w:rsidRDefault="0032683C" w:rsidP="006C2C51">
      <w:pPr>
        <w:rPr>
          <w:sz w:val="24"/>
          <w:szCs w:val="24"/>
          <w:highlight w:val="yellow"/>
        </w:rPr>
      </w:pPr>
      <w:r w:rsidRPr="005810EB">
        <w:rPr>
          <w:sz w:val="24"/>
          <w:szCs w:val="24"/>
          <w:highlight w:val="yellow"/>
        </w:rPr>
        <w:t>Real estate brokers and licensed real estate property managers may not commingle funds in a client trust account, with the exception of compensation earned in connection with a real estate sale, purchase, or exchange transaction.</w:t>
      </w:r>
      <w:r w:rsidRPr="005810EB">
        <w:rPr>
          <w:highlight w:val="yellow"/>
        </w:rPr>
        <w:t xml:space="preserve"> </w:t>
      </w:r>
      <w:r w:rsidRPr="005810EB">
        <w:rPr>
          <w:sz w:val="24"/>
          <w:szCs w:val="24"/>
          <w:highlight w:val="yellow"/>
        </w:rPr>
        <w:t>Licensees do not need to create a trust account when acting only as a courier conveying a check payable to the seller from the purchaser.</w:t>
      </w:r>
    </w:p>
    <w:p w:rsidR="006C2C51" w:rsidRPr="002075AE" w:rsidRDefault="00684F17" w:rsidP="006C2C51">
      <w:pPr>
        <w:rPr>
          <w:sz w:val="24"/>
          <w:szCs w:val="24"/>
        </w:rPr>
      </w:pPr>
      <w:r w:rsidRPr="005810EB">
        <w:rPr>
          <w:sz w:val="24"/>
          <w:szCs w:val="24"/>
          <w:highlight w:val="yellow"/>
        </w:rPr>
        <w:t xml:space="preserve">Effective Date:  </w:t>
      </w:r>
      <w:r w:rsidR="0032683C" w:rsidRPr="005810EB">
        <w:rPr>
          <w:sz w:val="24"/>
          <w:szCs w:val="24"/>
          <w:highlight w:val="yellow"/>
        </w:rPr>
        <w:t>June</w:t>
      </w:r>
      <w:r w:rsidRPr="005810EB">
        <w:rPr>
          <w:sz w:val="24"/>
          <w:szCs w:val="24"/>
          <w:highlight w:val="yellow"/>
        </w:rPr>
        <w:t xml:space="preserve"> </w:t>
      </w:r>
      <w:r w:rsidR="0032683C" w:rsidRPr="005810EB">
        <w:rPr>
          <w:sz w:val="24"/>
          <w:szCs w:val="24"/>
          <w:highlight w:val="yellow"/>
        </w:rPr>
        <w:t>6</w:t>
      </w:r>
      <w:r w:rsidRPr="005810EB">
        <w:rPr>
          <w:sz w:val="24"/>
          <w:szCs w:val="24"/>
          <w:highlight w:val="yellow"/>
        </w:rPr>
        <w:t>, 2017</w:t>
      </w:r>
      <w:r w:rsidR="006C2C51" w:rsidRPr="005810EB">
        <w:rPr>
          <w:sz w:val="24"/>
          <w:szCs w:val="24"/>
          <w:highlight w:val="yellow"/>
        </w:rPr>
        <w:t xml:space="preserve"> – Amended Statute</w:t>
      </w:r>
    </w:p>
    <w:p w:rsidR="00C344CF" w:rsidRDefault="00C344CF" w:rsidP="00C344CF">
      <w:pPr>
        <w:rPr>
          <w:b/>
          <w:sz w:val="24"/>
          <w:szCs w:val="24"/>
          <w:u w:val="single"/>
        </w:rPr>
      </w:pPr>
    </w:p>
    <w:p w:rsidR="00C344CF" w:rsidRPr="005810EB" w:rsidRDefault="00C344CF" w:rsidP="00C344CF">
      <w:pPr>
        <w:rPr>
          <w:b/>
          <w:sz w:val="24"/>
          <w:szCs w:val="24"/>
          <w:highlight w:val="yellow"/>
          <w:u w:val="single"/>
        </w:rPr>
      </w:pPr>
      <w:r w:rsidRPr="005810EB">
        <w:rPr>
          <w:b/>
          <w:sz w:val="24"/>
          <w:szCs w:val="24"/>
          <w:highlight w:val="yellow"/>
          <w:u w:val="single"/>
        </w:rPr>
        <w:t xml:space="preserve">Oregon – Use of Customer Data </w:t>
      </w:r>
    </w:p>
    <w:p w:rsidR="00C344CF" w:rsidRPr="005810EB" w:rsidRDefault="006E4293" w:rsidP="00C344CF">
      <w:pPr>
        <w:rPr>
          <w:sz w:val="24"/>
          <w:szCs w:val="24"/>
          <w:highlight w:val="yellow"/>
        </w:rPr>
      </w:pPr>
      <w:hyperlink r:id="rId11" w:history="1">
        <w:r w:rsidR="00C344CF" w:rsidRPr="005810EB">
          <w:rPr>
            <w:rStyle w:val="Hyperlink"/>
            <w:sz w:val="24"/>
            <w:szCs w:val="24"/>
            <w:highlight w:val="yellow"/>
          </w:rPr>
          <w:t>Or. Rev. Stat. § 646.607 (2017)</w:t>
        </w:r>
      </w:hyperlink>
    </w:p>
    <w:p w:rsidR="00C344CF" w:rsidRPr="005810EB" w:rsidRDefault="00C344CF" w:rsidP="00C344CF">
      <w:pPr>
        <w:rPr>
          <w:sz w:val="24"/>
          <w:szCs w:val="24"/>
          <w:highlight w:val="yellow"/>
        </w:rPr>
      </w:pPr>
      <w:r w:rsidRPr="005810EB">
        <w:rPr>
          <w:sz w:val="24"/>
          <w:szCs w:val="24"/>
          <w:highlight w:val="yellow"/>
        </w:rPr>
        <w:t xml:space="preserve">It is an unlawful trade practice for anyone to make a statement or representation in connection with a consumer transaction asserting that the person will use, disclose, collect, maintain, delete, or dispose of information received from the customer in a particular manner, and then use, disclose, collect, maintain, delete, or dispose of information received from the customer in a manner that is not consistent with that statement or representation.    </w:t>
      </w:r>
    </w:p>
    <w:p w:rsidR="00C344CF" w:rsidRPr="002075AE" w:rsidRDefault="00C344CF" w:rsidP="00C344CF">
      <w:pPr>
        <w:rPr>
          <w:sz w:val="24"/>
          <w:szCs w:val="24"/>
        </w:rPr>
      </w:pPr>
      <w:r w:rsidRPr="005810EB">
        <w:rPr>
          <w:sz w:val="24"/>
          <w:szCs w:val="24"/>
          <w:highlight w:val="yellow"/>
        </w:rPr>
        <w:t>Effective Date: May 25, 2017 – Amended Statute</w:t>
      </w:r>
      <w:r w:rsidRPr="002075AE">
        <w:rPr>
          <w:sz w:val="24"/>
          <w:szCs w:val="24"/>
        </w:rPr>
        <w:t xml:space="preserve"> </w:t>
      </w:r>
    </w:p>
    <w:p w:rsidR="00684F17" w:rsidRDefault="00684F17" w:rsidP="00684F17">
      <w:pPr>
        <w:rPr>
          <w:sz w:val="24"/>
          <w:szCs w:val="24"/>
        </w:rPr>
      </w:pPr>
    </w:p>
    <w:sectPr w:rsidR="00684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0A"/>
    <w:rsid w:val="000414D3"/>
    <w:rsid w:val="000809BA"/>
    <w:rsid w:val="000A32D3"/>
    <w:rsid w:val="000F28DF"/>
    <w:rsid w:val="001368DE"/>
    <w:rsid w:val="00174A0A"/>
    <w:rsid w:val="002075AE"/>
    <w:rsid w:val="00290D41"/>
    <w:rsid w:val="00294513"/>
    <w:rsid w:val="002A52AD"/>
    <w:rsid w:val="002B38AB"/>
    <w:rsid w:val="0032683C"/>
    <w:rsid w:val="0034587D"/>
    <w:rsid w:val="00383E4D"/>
    <w:rsid w:val="003A36A8"/>
    <w:rsid w:val="00506E29"/>
    <w:rsid w:val="00547113"/>
    <w:rsid w:val="005810EB"/>
    <w:rsid w:val="005C46B8"/>
    <w:rsid w:val="005E4B63"/>
    <w:rsid w:val="005F2232"/>
    <w:rsid w:val="006123AB"/>
    <w:rsid w:val="00684F17"/>
    <w:rsid w:val="006C2C51"/>
    <w:rsid w:val="006E4293"/>
    <w:rsid w:val="007C540E"/>
    <w:rsid w:val="00842AE0"/>
    <w:rsid w:val="00B04FDB"/>
    <w:rsid w:val="00B27956"/>
    <w:rsid w:val="00C11EA7"/>
    <w:rsid w:val="00C344CF"/>
    <w:rsid w:val="00C57579"/>
    <w:rsid w:val="00DB710A"/>
    <w:rsid w:val="00DD7D2D"/>
    <w:rsid w:val="00E6635A"/>
    <w:rsid w:val="00E75130"/>
    <w:rsid w:val="00E97ABF"/>
    <w:rsid w:val="00EB39CF"/>
    <w:rsid w:val="00FD609F"/>
    <w:rsid w:val="00FD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9F126-584B-4749-8C62-5DDE3793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51"/>
    <w:rPr>
      <w:color w:val="0000FF" w:themeColor="hyperlink"/>
      <w:u w:val="single"/>
    </w:rPr>
  </w:style>
  <w:style w:type="character" w:styleId="FollowedHyperlink">
    <w:name w:val="FollowedHyperlink"/>
    <w:basedOn w:val="DefaultParagraphFont"/>
    <w:uiPriority w:val="99"/>
    <w:semiHidden/>
    <w:unhideWhenUsed/>
    <w:rsid w:val="00C1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s.leg.state.or.us/liz/2017R1/Downloads/MeasureDocument/SB67/Enroll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is.leg.state.or.us/liz/2017R1/Downloads/MeasureDocument/HB3047/Enroll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lis.leg.state.or.us/liz/2017R1/Downloads/MeasureDocument/SB67/Enrolled" TargetMode="External"/><Relationship Id="rId11" Type="http://schemas.openxmlformats.org/officeDocument/2006/relationships/hyperlink" Target="https://olis.leg.state.or.us/liz/2017R1/Downloads/MeasureDocument/HB2090/Enrolled" TargetMode="External"/><Relationship Id="rId5" Type="http://schemas.openxmlformats.org/officeDocument/2006/relationships/hyperlink" Target="https://olis.leg.state.or.us/liz/2017R1/Downloads/MeasureDocument/SB67/Enrolled" TargetMode="External"/><Relationship Id="rId10" Type="http://schemas.openxmlformats.org/officeDocument/2006/relationships/hyperlink" Target="https://olis.leg.state.or.us/liz/2017R1/Downloads/MeasureDocument/SB67/Enrolled" TargetMode="External"/><Relationship Id="rId4" Type="http://schemas.openxmlformats.org/officeDocument/2006/relationships/webSettings" Target="webSettings.xml"/><Relationship Id="rId9" Type="http://schemas.openxmlformats.org/officeDocument/2006/relationships/hyperlink" Target="https://olis.leg.state.or.us/liz/2017R1/Downloads/MeasureDocument/HB2140/Enro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BAA0-90A9-4038-A176-0233AAE3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Menard</dc:creator>
  <cp:lastModifiedBy>Dakota Bender</cp:lastModifiedBy>
  <cp:revision>2</cp:revision>
  <dcterms:created xsi:type="dcterms:W3CDTF">2017-10-30T22:09:00Z</dcterms:created>
  <dcterms:modified xsi:type="dcterms:W3CDTF">2017-10-30T22:09:00Z</dcterms:modified>
</cp:coreProperties>
</file>