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2EA1" w14:textId="77777777" w:rsidR="00684F17" w:rsidRPr="004133FE" w:rsidRDefault="00684F17" w:rsidP="00684F17">
      <w:pPr>
        <w:jc w:val="center"/>
        <w:rPr>
          <w:b/>
          <w:sz w:val="24"/>
          <w:szCs w:val="24"/>
          <w:u w:val="single"/>
        </w:rPr>
      </w:pPr>
      <w:bookmarkStart w:id="0" w:name="_GoBack"/>
      <w:bookmarkEnd w:id="0"/>
      <w:r w:rsidRPr="004133FE">
        <w:rPr>
          <w:b/>
          <w:sz w:val="24"/>
          <w:szCs w:val="24"/>
          <w:u w:val="single"/>
        </w:rPr>
        <w:t>ARELLO Archive</w:t>
      </w:r>
    </w:p>
    <w:p w14:paraId="00EBBBA5" w14:textId="77777777" w:rsidR="00684F17" w:rsidRPr="004133FE" w:rsidRDefault="00EF69D9" w:rsidP="00684F17">
      <w:pPr>
        <w:rPr>
          <w:b/>
          <w:sz w:val="24"/>
          <w:szCs w:val="24"/>
          <w:u w:val="single"/>
        </w:rPr>
      </w:pPr>
      <w:r>
        <w:rPr>
          <w:b/>
          <w:sz w:val="24"/>
          <w:szCs w:val="24"/>
          <w:u w:val="single"/>
        </w:rPr>
        <w:t>North Carolina</w:t>
      </w:r>
      <w:r w:rsidR="006077B2">
        <w:rPr>
          <w:b/>
          <w:sz w:val="24"/>
          <w:szCs w:val="24"/>
          <w:u w:val="single"/>
        </w:rPr>
        <w:t>—</w:t>
      </w:r>
      <w:r>
        <w:rPr>
          <w:b/>
          <w:sz w:val="24"/>
          <w:szCs w:val="24"/>
          <w:u w:val="single"/>
        </w:rPr>
        <w:t>Broker in Charge Requirements</w:t>
      </w:r>
      <w:r w:rsidR="006077B2">
        <w:rPr>
          <w:b/>
          <w:sz w:val="24"/>
          <w:szCs w:val="24"/>
          <w:u w:val="single"/>
        </w:rPr>
        <w:t xml:space="preserve"> </w:t>
      </w:r>
    </w:p>
    <w:p w14:paraId="6E8A64A8" w14:textId="77777777" w:rsidR="00684F17" w:rsidRPr="00EF69D9" w:rsidRDefault="004F1807" w:rsidP="00684F17">
      <w:pPr>
        <w:rPr>
          <w:sz w:val="24"/>
          <w:szCs w:val="24"/>
        </w:rPr>
      </w:pPr>
      <w:hyperlink r:id="rId5" w:history="1">
        <w:r w:rsidR="00EF69D9" w:rsidRPr="00D7600A">
          <w:rPr>
            <w:rStyle w:val="Hyperlink"/>
            <w:rFonts w:cs="Times New Roman"/>
            <w:bCs/>
            <w:sz w:val="24"/>
            <w:szCs w:val="24"/>
          </w:rPr>
          <w:t xml:space="preserve">21 NCAC 58A .0110 </w:t>
        </w:r>
        <w:r w:rsidR="00EF69D9" w:rsidRPr="00D7600A">
          <w:rPr>
            <w:rStyle w:val="Hyperlink"/>
            <w:rFonts w:cs="Times New Roman"/>
            <w:sz w:val="24"/>
            <w:szCs w:val="24"/>
          </w:rPr>
          <w:t>(2018)</w:t>
        </w:r>
      </w:hyperlink>
    </w:p>
    <w:p w14:paraId="4E447851" w14:textId="77777777" w:rsidR="00684F17" w:rsidRPr="004133FE" w:rsidRDefault="00EF69D9" w:rsidP="00D7600A">
      <w:pPr>
        <w:jc w:val="both"/>
        <w:rPr>
          <w:sz w:val="24"/>
          <w:szCs w:val="24"/>
        </w:rPr>
      </w:pPr>
      <w:r w:rsidRPr="00EF69D9">
        <w:rPr>
          <w:sz w:val="24"/>
          <w:szCs w:val="24"/>
        </w:rPr>
        <w:t>In order for a broker to designate as a broker-in-charge (BIC)</w:t>
      </w:r>
      <w:r>
        <w:rPr>
          <w:sz w:val="24"/>
          <w:szCs w:val="24"/>
        </w:rPr>
        <w:t xml:space="preserve"> </w:t>
      </w:r>
      <w:r w:rsidRPr="00EF69D9">
        <w:rPr>
          <w:sz w:val="24"/>
          <w:szCs w:val="24"/>
        </w:rPr>
        <w:t>for a sole proprietor, real estate firm, or branch office, a broker shall apply for BIC Eligible status by submitting an application on a form availa</w:t>
      </w:r>
      <w:r>
        <w:rPr>
          <w:sz w:val="24"/>
          <w:szCs w:val="24"/>
        </w:rPr>
        <w:t>ble on the Commission’s website</w:t>
      </w:r>
      <w:r w:rsidR="00C923F4" w:rsidRPr="00C923F4">
        <w:rPr>
          <w:sz w:val="24"/>
          <w:szCs w:val="24"/>
        </w:rPr>
        <w:t>.</w:t>
      </w:r>
      <w:r>
        <w:rPr>
          <w:sz w:val="24"/>
          <w:szCs w:val="24"/>
        </w:rPr>
        <w:t xml:space="preserve">  </w:t>
      </w:r>
      <w:r w:rsidRPr="00EF69D9">
        <w:rPr>
          <w:sz w:val="24"/>
          <w:szCs w:val="24"/>
        </w:rPr>
        <w:t>A licensed real estate firm shall not b</w:t>
      </w:r>
      <w:r w:rsidR="00D7600A">
        <w:rPr>
          <w:sz w:val="24"/>
          <w:szCs w:val="24"/>
        </w:rPr>
        <w:t>e required to have a BIC if it: (1)</w:t>
      </w:r>
      <w:r w:rsidRPr="00EF69D9">
        <w:rPr>
          <w:sz w:val="24"/>
          <w:szCs w:val="24"/>
        </w:rPr>
        <w:t xml:space="preserve"> is organized for the sole purpose of receiving compensation for brokerage services furnished by its qualifying broker </w:t>
      </w:r>
      <w:r w:rsidR="00D7600A">
        <w:rPr>
          <w:sz w:val="24"/>
          <w:szCs w:val="24"/>
        </w:rPr>
        <w:t xml:space="preserve">through another firm or broker; </w:t>
      </w:r>
      <w:r w:rsidRPr="00EF69D9">
        <w:rPr>
          <w:sz w:val="24"/>
          <w:szCs w:val="24"/>
        </w:rPr>
        <w:t>(2) is treated for tax purposes as a Subchapter S corporation by the United States Internal Revenue Service; (3) has no principal or branch office; and</w:t>
      </w:r>
      <w:r w:rsidR="00D7600A">
        <w:rPr>
          <w:sz w:val="24"/>
          <w:szCs w:val="24"/>
        </w:rPr>
        <w:t xml:space="preserve"> </w:t>
      </w:r>
      <w:r w:rsidRPr="00EF69D9">
        <w:rPr>
          <w:sz w:val="24"/>
          <w:szCs w:val="24"/>
        </w:rPr>
        <w:t>(4) has no licensed person associated with it other than its qualifying broker.</w:t>
      </w:r>
      <w:r w:rsidR="00DF244C">
        <w:rPr>
          <w:sz w:val="24"/>
          <w:szCs w:val="24"/>
        </w:rPr>
        <w:t xml:space="preserve">  </w:t>
      </w:r>
    </w:p>
    <w:p w14:paraId="33C8A766" w14:textId="77777777" w:rsidR="008F4089" w:rsidRDefault="006077B2" w:rsidP="00684F17">
      <w:pPr>
        <w:rPr>
          <w:sz w:val="24"/>
          <w:szCs w:val="24"/>
        </w:rPr>
      </w:pPr>
      <w:r>
        <w:rPr>
          <w:sz w:val="24"/>
          <w:szCs w:val="24"/>
        </w:rPr>
        <w:t>Effective</w:t>
      </w:r>
      <w:r w:rsidR="00B5378A" w:rsidRPr="004133FE">
        <w:rPr>
          <w:sz w:val="24"/>
          <w:szCs w:val="24"/>
        </w:rPr>
        <w:t xml:space="preserve"> Date</w:t>
      </w:r>
      <w:r w:rsidR="00684F17" w:rsidRPr="004133FE">
        <w:rPr>
          <w:sz w:val="24"/>
          <w:szCs w:val="24"/>
        </w:rPr>
        <w:t xml:space="preserve">:  </w:t>
      </w:r>
      <w:r w:rsidR="00EF69D9">
        <w:rPr>
          <w:sz w:val="24"/>
          <w:szCs w:val="24"/>
        </w:rPr>
        <w:t>July 1</w:t>
      </w:r>
      <w:r>
        <w:rPr>
          <w:sz w:val="24"/>
          <w:szCs w:val="24"/>
        </w:rPr>
        <w:t xml:space="preserve">, 2018 </w:t>
      </w:r>
      <w:r w:rsidR="002075AE" w:rsidRPr="004133FE">
        <w:rPr>
          <w:sz w:val="24"/>
          <w:szCs w:val="24"/>
        </w:rPr>
        <w:t xml:space="preserve">– </w:t>
      </w:r>
      <w:r>
        <w:rPr>
          <w:sz w:val="24"/>
          <w:szCs w:val="24"/>
        </w:rPr>
        <w:t>Amended Regulation</w:t>
      </w:r>
    </w:p>
    <w:p w14:paraId="33CAC414" w14:textId="77777777" w:rsidR="00955208" w:rsidRPr="004133FE" w:rsidRDefault="00955208" w:rsidP="00684F17">
      <w:pPr>
        <w:rPr>
          <w:sz w:val="24"/>
          <w:szCs w:val="24"/>
        </w:rPr>
      </w:pPr>
    </w:p>
    <w:p w14:paraId="04D10CCF" w14:textId="77777777" w:rsidR="008F4089" w:rsidRPr="004133FE" w:rsidRDefault="008F4089" w:rsidP="008F4089">
      <w:pPr>
        <w:rPr>
          <w:b/>
          <w:sz w:val="24"/>
          <w:szCs w:val="24"/>
          <w:u w:val="single"/>
        </w:rPr>
      </w:pPr>
      <w:r>
        <w:rPr>
          <w:b/>
          <w:sz w:val="24"/>
          <w:szCs w:val="24"/>
          <w:u w:val="single"/>
        </w:rPr>
        <w:t xml:space="preserve">North Carolina—Amended Disclosure Form </w:t>
      </w:r>
    </w:p>
    <w:p w14:paraId="62E516FF" w14:textId="77777777" w:rsidR="008F4089" w:rsidRPr="00EF69D9" w:rsidRDefault="004F1807" w:rsidP="008F4089">
      <w:pPr>
        <w:rPr>
          <w:sz w:val="24"/>
          <w:szCs w:val="24"/>
        </w:rPr>
      </w:pPr>
      <w:hyperlink r:id="rId6" w:history="1">
        <w:r w:rsidR="008F4089" w:rsidRPr="00D7600A">
          <w:rPr>
            <w:rStyle w:val="Hyperlink"/>
            <w:rFonts w:cs="Times New Roman"/>
            <w:bCs/>
            <w:sz w:val="24"/>
            <w:szCs w:val="24"/>
          </w:rPr>
          <w:t xml:space="preserve">21 NCAC 58A .0114 </w:t>
        </w:r>
        <w:r w:rsidR="008F4089" w:rsidRPr="00D7600A">
          <w:rPr>
            <w:rStyle w:val="Hyperlink"/>
            <w:rFonts w:cs="Times New Roman"/>
            <w:sz w:val="24"/>
            <w:szCs w:val="24"/>
          </w:rPr>
          <w:t>(2018)</w:t>
        </w:r>
      </w:hyperlink>
    </w:p>
    <w:p w14:paraId="09B01E84" w14:textId="77777777" w:rsidR="008F4089" w:rsidRPr="008F4089" w:rsidRDefault="008F4089" w:rsidP="008F4089">
      <w:pPr>
        <w:keepNext/>
        <w:jc w:val="both"/>
        <w:rPr>
          <w:rFonts w:cs="Times New Roman"/>
          <w:sz w:val="24"/>
          <w:szCs w:val="24"/>
        </w:rPr>
      </w:pPr>
      <w:r w:rsidRPr="008F4089">
        <w:rPr>
          <w:sz w:val="24"/>
          <w:szCs w:val="24"/>
        </w:rPr>
        <w:t xml:space="preserve">The amended regulation </w:t>
      </w:r>
      <w:r w:rsidRPr="008F4089">
        <w:rPr>
          <w:rFonts w:cs="Times New Roman"/>
          <w:sz w:val="24"/>
          <w:szCs w:val="24"/>
        </w:rPr>
        <w:t xml:space="preserve">changes the </w:t>
      </w:r>
      <w:r w:rsidRPr="008F4089">
        <w:rPr>
          <w:rFonts w:cs="Times New Roman"/>
          <w:bCs/>
          <w:sz w:val="24"/>
          <w:szCs w:val="24"/>
        </w:rPr>
        <w:t>Residential Property and Owners' Association Disclosure Statement</w:t>
      </w:r>
      <w:r w:rsidRPr="008F4089">
        <w:rPr>
          <w:rFonts w:cs="Times New Roman"/>
          <w:sz w:val="24"/>
          <w:szCs w:val="24"/>
        </w:rPr>
        <w:t xml:space="preserve"> to eliminate the question regarding radon mitigation systems. </w:t>
      </w:r>
    </w:p>
    <w:p w14:paraId="448F5451" w14:textId="77777777" w:rsidR="008F4089" w:rsidRPr="004133FE" w:rsidRDefault="008F4089" w:rsidP="008F4089">
      <w:pPr>
        <w:rPr>
          <w:sz w:val="24"/>
          <w:szCs w:val="24"/>
        </w:rPr>
      </w:pPr>
      <w:r>
        <w:rPr>
          <w:sz w:val="24"/>
          <w:szCs w:val="24"/>
        </w:rPr>
        <w:t>Effective</w:t>
      </w:r>
      <w:r w:rsidRPr="004133FE">
        <w:rPr>
          <w:sz w:val="24"/>
          <w:szCs w:val="24"/>
        </w:rPr>
        <w:t xml:space="preserve"> Date:  </w:t>
      </w:r>
      <w:r>
        <w:rPr>
          <w:sz w:val="24"/>
          <w:szCs w:val="24"/>
        </w:rPr>
        <w:t xml:space="preserve">July 1, 2018 </w:t>
      </w:r>
      <w:r w:rsidRPr="004133FE">
        <w:rPr>
          <w:sz w:val="24"/>
          <w:szCs w:val="24"/>
        </w:rPr>
        <w:t xml:space="preserve">– </w:t>
      </w:r>
      <w:r>
        <w:rPr>
          <w:sz w:val="24"/>
          <w:szCs w:val="24"/>
        </w:rPr>
        <w:t>Amended Regulation</w:t>
      </w:r>
    </w:p>
    <w:p w14:paraId="49A28144" w14:textId="77777777" w:rsidR="008F4089" w:rsidRPr="00A1643A" w:rsidRDefault="008F4089" w:rsidP="00A1643A">
      <w:pPr>
        <w:rPr>
          <w:sz w:val="24"/>
          <w:szCs w:val="24"/>
        </w:rPr>
      </w:pPr>
    </w:p>
    <w:p w14:paraId="7A45DF5F" w14:textId="77777777" w:rsidR="008F4089" w:rsidRPr="004133FE" w:rsidRDefault="008F4089" w:rsidP="008F4089">
      <w:pPr>
        <w:rPr>
          <w:b/>
          <w:sz w:val="24"/>
          <w:szCs w:val="24"/>
          <w:u w:val="single"/>
        </w:rPr>
      </w:pPr>
      <w:r>
        <w:rPr>
          <w:b/>
          <w:sz w:val="24"/>
          <w:szCs w:val="24"/>
          <w:u w:val="single"/>
        </w:rPr>
        <w:t>North Carolina—Reinstatement of License</w:t>
      </w:r>
    </w:p>
    <w:p w14:paraId="65973F43" w14:textId="77777777" w:rsidR="008F4089" w:rsidRPr="002163B7" w:rsidRDefault="004F1807" w:rsidP="008F4089">
      <w:pPr>
        <w:rPr>
          <w:sz w:val="24"/>
          <w:szCs w:val="24"/>
        </w:rPr>
      </w:pPr>
      <w:hyperlink r:id="rId7" w:history="1">
        <w:r w:rsidR="008F4089" w:rsidRPr="00D7600A">
          <w:rPr>
            <w:rStyle w:val="Hyperlink"/>
            <w:bCs/>
            <w:sz w:val="24"/>
            <w:szCs w:val="24"/>
          </w:rPr>
          <w:t xml:space="preserve">21 NCAC 58A .0505 </w:t>
        </w:r>
        <w:r w:rsidR="008F4089" w:rsidRPr="00D7600A">
          <w:rPr>
            <w:rStyle w:val="Hyperlink"/>
            <w:sz w:val="24"/>
            <w:szCs w:val="24"/>
          </w:rPr>
          <w:t>(2018)</w:t>
        </w:r>
      </w:hyperlink>
    </w:p>
    <w:p w14:paraId="7662E200" w14:textId="77777777" w:rsidR="008F4089" w:rsidRPr="002163B7" w:rsidRDefault="008F4089" w:rsidP="008F4089">
      <w:pPr>
        <w:jc w:val="both"/>
        <w:rPr>
          <w:sz w:val="24"/>
          <w:szCs w:val="24"/>
        </w:rPr>
      </w:pPr>
      <w:r>
        <w:rPr>
          <w:color w:val="000000"/>
          <w:sz w:val="24"/>
          <w:szCs w:val="24"/>
        </w:rPr>
        <w:t xml:space="preserve">States that a broker’s license that is reinstated </w:t>
      </w:r>
      <w:r w:rsidRPr="00EF69D9">
        <w:rPr>
          <w:color w:val="000000"/>
          <w:sz w:val="24"/>
          <w:szCs w:val="24"/>
        </w:rPr>
        <w:t>shall be reinstated with the same license number and status, either full or provisional, it held before expiration, revocation, or surrender if reinstated within three years from the expiration, revocation, or surrender.  If a license is reinstated after three years from the expiration, revocation, or surrender, the license</w:t>
      </w:r>
      <w:r>
        <w:rPr>
          <w:color w:val="000000"/>
          <w:sz w:val="24"/>
          <w:szCs w:val="24"/>
        </w:rPr>
        <w:t>e</w:t>
      </w:r>
      <w:r w:rsidRPr="00EF69D9">
        <w:rPr>
          <w:color w:val="000000"/>
          <w:sz w:val="24"/>
          <w:szCs w:val="24"/>
        </w:rPr>
        <w:t xml:space="preserve"> shall be on provisional broker status.</w:t>
      </w:r>
      <w:r>
        <w:rPr>
          <w:color w:val="000000"/>
          <w:sz w:val="24"/>
          <w:szCs w:val="24"/>
        </w:rPr>
        <w:t xml:space="preserve">  </w:t>
      </w:r>
      <w:r w:rsidRPr="00EF69D9">
        <w:rPr>
          <w:color w:val="000000"/>
          <w:sz w:val="24"/>
          <w:szCs w:val="24"/>
        </w:rPr>
        <w:t>The license shall be effective as of the date of reinstatement, not the date of original licensure.</w:t>
      </w:r>
      <w:r>
        <w:rPr>
          <w:color w:val="000000"/>
          <w:sz w:val="24"/>
          <w:szCs w:val="24"/>
        </w:rPr>
        <w:t xml:space="preserve">  A </w:t>
      </w:r>
      <w:r w:rsidRPr="00EF69D9">
        <w:rPr>
          <w:color w:val="000000"/>
          <w:sz w:val="24"/>
          <w:szCs w:val="24"/>
        </w:rPr>
        <w:t>broker seeking reinstatement of his or her license must disclose his or her criminal record when applying.</w:t>
      </w:r>
      <w:r>
        <w:rPr>
          <w:color w:val="000000"/>
          <w:sz w:val="24"/>
          <w:szCs w:val="24"/>
        </w:rPr>
        <w:t xml:space="preserve">  </w:t>
      </w:r>
    </w:p>
    <w:p w14:paraId="4A851315" w14:textId="77777777" w:rsidR="008F4089" w:rsidRPr="00A1643A" w:rsidRDefault="008F4089" w:rsidP="008F4089">
      <w:pPr>
        <w:rPr>
          <w:sz w:val="24"/>
          <w:szCs w:val="24"/>
        </w:rPr>
      </w:pPr>
      <w:r w:rsidRPr="00A1643A">
        <w:rPr>
          <w:sz w:val="24"/>
          <w:szCs w:val="24"/>
        </w:rPr>
        <w:t xml:space="preserve">Effective Date:  </w:t>
      </w:r>
      <w:r>
        <w:rPr>
          <w:sz w:val="24"/>
          <w:szCs w:val="24"/>
        </w:rPr>
        <w:t>July 1</w:t>
      </w:r>
      <w:r w:rsidRPr="00A1643A">
        <w:rPr>
          <w:sz w:val="24"/>
          <w:szCs w:val="24"/>
        </w:rPr>
        <w:t xml:space="preserve">, 2018 - Amended </w:t>
      </w:r>
      <w:r>
        <w:rPr>
          <w:sz w:val="24"/>
          <w:szCs w:val="24"/>
        </w:rPr>
        <w:t>Regulation</w:t>
      </w:r>
      <w:r w:rsidRPr="00A1643A">
        <w:rPr>
          <w:sz w:val="24"/>
          <w:szCs w:val="24"/>
        </w:rPr>
        <w:t xml:space="preserve"> </w:t>
      </w:r>
    </w:p>
    <w:p w14:paraId="6E39FAD9" w14:textId="77777777" w:rsidR="00A1643A" w:rsidRPr="00A1643A" w:rsidRDefault="00A1643A" w:rsidP="00A1643A">
      <w:pPr>
        <w:rPr>
          <w:sz w:val="24"/>
          <w:szCs w:val="24"/>
        </w:rPr>
      </w:pPr>
    </w:p>
    <w:p w14:paraId="41593817" w14:textId="77777777" w:rsidR="00A1643A" w:rsidRPr="004133FE" w:rsidRDefault="008F4089" w:rsidP="00A1643A">
      <w:pPr>
        <w:rPr>
          <w:b/>
          <w:sz w:val="24"/>
          <w:szCs w:val="24"/>
          <w:u w:val="single"/>
        </w:rPr>
      </w:pPr>
      <w:r>
        <w:rPr>
          <w:b/>
          <w:sz w:val="24"/>
          <w:szCs w:val="24"/>
          <w:u w:val="single"/>
        </w:rPr>
        <w:t>Oregon</w:t>
      </w:r>
      <w:r w:rsidR="002163B7">
        <w:rPr>
          <w:b/>
          <w:sz w:val="24"/>
          <w:szCs w:val="24"/>
          <w:u w:val="single"/>
        </w:rPr>
        <w:t>—</w:t>
      </w:r>
      <w:r>
        <w:rPr>
          <w:b/>
          <w:sz w:val="24"/>
          <w:szCs w:val="24"/>
          <w:u w:val="single"/>
        </w:rPr>
        <w:t>Amended Property Condition Disclosure Form</w:t>
      </w:r>
    </w:p>
    <w:p w14:paraId="16C99B81" w14:textId="77777777" w:rsidR="002163B7" w:rsidRPr="002163B7" w:rsidRDefault="004F1807" w:rsidP="002163B7">
      <w:pPr>
        <w:rPr>
          <w:sz w:val="24"/>
          <w:szCs w:val="24"/>
        </w:rPr>
      </w:pPr>
      <w:hyperlink r:id="rId8" w:history="1">
        <w:r w:rsidR="008F4089" w:rsidRPr="00D7600A">
          <w:rPr>
            <w:rStyle w:val="Hyperlink"/>
            <w:bCs/>
            <w:sz w:val="24"/>
            <w:szCs w:val="24"/>
          </w:rPr>
          <w:t xml:space="preserve">Or. Rev. Stat. § 105.464 </w:t>
        </w:r>
        <w:r w:rsidR="008F4089" w:rsidRPr="00D7600A">
          <w:rPr>
            <w:rStyle w:val="Hyperlink"/>
            <w:sz w:val="24"/>
            <w:szCs w:val="24"/>
          </w:rPr>
          <w:t>(2018)</w:t>
        </w:r>
      </w:hyperlink>
    </w:p>
    <w:p w14:paraId="4F5F72D6" w14:textId="77777777" w:rsidR="00A1643A" w:rsidRPr="002163B7" w:rsidRDefault="002163B7" w:rsidP="00A1643A">
      <w:pPr>
        <w:jc w:val="both"/>
        <w:rPr>
          <w:sz w:val="24"/>
          <w:szCs w:val="24"/>
        </w:rPr>
      </w:pPr>
      <w:r w:rsidRPr="002163B7">
        <w:rPr>
          <w:color w:val="000000"/>
          <w:sz w:val="24"/>
          <w:szCs w:val="24"/>
        </w:rPr>
        <w:t xml:space="preserve">The amended </w:t>
      </w:r>
      <w:r w:rsidR="008F4089">
        <w:rPr>
          <w:color w:val="000000"/>
          <w:sz w:val="24"/>
          <w:szCs w:val="24"/>
        </w:rPr>
        <w:t>statute</w:t>
      </w:r>
      <w:r w:rsidRPr="002163B7">
        <w:rPr>
          <w:color w:val="000000"/>
          <w:sz w:val="24"/>
          <w:szCs w:val="24"/>
        </w:rPr>
        <w:t xml:space="preserve"> </w:t>
      </w:r>
      <w:r w:rsidR="002A6914">
        <w:rPr>
          <w:color w:val="000000"/>
          <w:sz w:val="24"/>
          <w:szCs w:val="24"/>
        </w:rPr>
        <w:t xml:space="preserve">adds </w:t>
      </w:r>
      <w:r w:rsidR="008F4089" w:rsidRPr="008F4089">
        <w:rPr>
          <w:color w:val="000000"/>
          <w:sz w:val="24"/>
          <w:szCs w:val="24"/>
        </w:rPr>
        <w:t>information regarding whether a residence built before 1974 is bolted to its foundation</w:t>
      </w:r>
      <w:r w:rsidR="002A6914">
        <w:rPr>
          <w:color w:val="000000"/>
          <w:sz w:val="24"/>
          <w:szCs w:val="24"/>
        </w:rPr>
        <w:t xml:space="preserve"> to </w:t>
      </w:r>
      <w:r w:rsidR="002A6914" w:rsidRPr="008F4089">
        <w:rPr>
          <w:color w:val="000000"/>
          <w:sz w:val="24"/>
          <w:szCs w:val="24"/>
        </w:rPr>
        <w:t>the required seller’s property condition disclosure form</w:t>
      </w:r>
      <w:r w:rsidR="008F4089" w:rsidRPr="008F4089">
        <w:rPr>
          <w:color w:val="000000"/>
          <w:sz w:val="24"/>
          <w:szCs w:val="24"/>
        </w:rPr>
        <w:t>.</w:t>
      </w:r>
    </w:p>
    <w:p w14:paraId="1BC566D1" w14:textId="77777777" w:rsidR="002163B7" w:rsidRPr="00A1643A" w:rsidRDefault="002163B7" w:rsidP="002163B7">
      <w:pPr>
        <w:rPr>
          <w:sz w:val="24"/>
          <w:szCs w:val="24"/>
        </w:rPr>
      </w:pPr>
      <w:r w:rsidRPr="00A1643A">
        <w:rPr>
          <w:sz w:val="24"/>
          <w:szCs w:val="24"/>
        </w:rPr>
        <w:t xml:space="preserve">Effective Date:  </w:t>
      </w:r>
      <w:r w:rsidR="008F4089">
        <w:rPr>
          <w:sz w:val="24"/>
          <w:szCs w:val="24"/>
        </w:rPr>
        <w:t>January 1</w:t>
      </w:r>
      <w:r w:rsidRPr="00A1643A">
        <w:rPr>
          <w:sz w:val="24"/>
          <w:szCs w:val="24"/>
        </w:rPr>
        <w:t xml:space="preserve">, 2018 - Amended </w:t>
      </w:r>
      <w:r w:rsidR="008F4089">
        <w:rPr>
          <w:sz w:val="24"/>
          <w:szCs w:val="24"/>
        </w:rPr>
        <w:t>Statute</w:t>
      </w:r>
      <w:r w:rsidRPr="00A1643A">
        <w:rPr>
          <w:sz w:val="24"/>
          <w:szCs w:val="24"/>
        </w:rPr>
        <w:t xml:space="preserve"> </w:t>
      </w:r>
    </w:p>
    <w:sectPr w:rsidR="002163B7" w:rsidRPr="00A1643A" w:rsidSect="00364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0A"/>
    <w:rsid w:val="000414D3"/>
    <w:rsid w:val="00066D74"/>
    <w:rsid w:val="000809BA"/>
    <w:rsid w:val="000A32D3"/>
    <w:rsid w:val="000E1131"/>
    <w:rsid w:val="000F28DF"/>
    <w:rsid w:val="00174A0A"/>
    <w:rsid w:val="001900FC"/>
    <w:rsid w:val="001D3AB9"/>
    <w:rsid w:val="002075AE"/>
    <w:rsid w:val="00210287"/>
    <w:rsid w:val="002163B7"/>
    <w:rsid w:val="00237BB9"/>
    <w:rsid w:val="002422F3"/>
    <w:rsid w:val="00294513"/>
    <w:rsid w:val="002A6914"/>
    <w:rsid w:val="002D1D8C"/>
    <w:rsid w:val="00315D33"/>
    <w:rsid w:val="0034587D"/>
    <w:rsid w:val="00364E50"/>
    <w:rsid w:val="00383E4D"/>
    <w:rsid w:val="003A36A8"/>
    <w:rsid w:val="004133FE"/>
    <w:rsid w:val="004F1807"/>
    <w:rsid w:val="00506E29"/>
    <w:rsid w:val="00514CFC"/>
    <w:rsid w:val="00535B16"/>
    <w:rsid w:val="00547113"/>
    <w:rsid w:val="00595AEF"/>
    <w:rsid w:val="005C46B8"/>
    <w:rsid w:val="005E4B63"/>
    <w:rsid w:val="005F2232"/>
    <w:rsid w:val="006077B2"/>
    <w:rsid w:val="006123AB"/>
    <w:rsid w:val="0066781B"/>
    <w:rsid w:val="00684F17"/>
    <w:rsid w:val="006C2C51"/>
    <w:rsid w:val="007C540E"/>
    <w:rsid w:val="00822204"/>
    <w:rsid w:val="008356B8"/>
    <w:rsid w:val="00842AE0"/>
    <w:rsid w:val="00843D0E"/>
    <w:rsid w:val="008E7147"/>
    <w:rsid w:val="008F4089"/>
    <w:rsid w:val="009521A8"/>
    <w:rsid w:val="00955208"/>
    <w:rsid w:val="00A1643A"/>
    <w:rsid w:val="00B02727"/>
    <w:rsid w:val="00B04FDB"/>
    <w:rsid w:val="00B075B6"/>
    <w:rsid w:val="00B5378A"/>
    <w:rsid w:val="00B80EB2"/>
    <w:rsid w:val="00BC3A41"/>
    <w:rsid w:val="00BD263E"/>
    <w:rsid w:val="00C037DC"/>
    <w:rsid w:val="00C11EA7"/>
    <w:rsid w:val="00C5204C"/>
    <w:rsid w:val="00C57579"/>
    <w:rsid w:val="00C923F4"/>
    <w:rsid w:val="00CC0445"/>
    <w:rsid w:val="00CC52C2"/>
    <w:rsid w:val="00D7600A"/>
    <w:rsid w:val="00D97B04"/>
    <w:rsid w:val="00DA58E3"/>
    <w:rsid w:val="00DB710A"/>
    <w:rsid w:val="00DD7D2D"/>
    <w:rsid w:val="00DE639A"/>
    <w:rsid w:val="00DF244C"/>
    <w:rsid w:val="00E6635A"/>
    <w:rsid w:val="00E72FFE"/>
    <w:rsid w:val="00E75130"/>
    <w:rsid w:val="00E97ABF"/>
    <w:rsid w:val="00EB39CF"/>
    <w:rsid w:val="00EE38FC"/>
    <w:rsid w:val="00EF69D9"/>
    <w:rsid w:val="00FD609F"/>
    <w:rsid w:val="00FD6AAA"/>
    <w:rsid w:val="00FF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E2B7"/>
  <w15:docId w15:val="{841D0A10-0A74-46DC-B964-27729106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51"/>
    <w:rPr>
      <w:color w:val="0000FF" w:themeColor="hyperlink"/>
      <w:u w:val="single"/>
    </w:rPr>
  </w:style>
  <w:style w:type="character" w:styleId="FollowedHyperlink">
    <w:name w:val="FollowedHyperlink"/>
    <w:basedOn w:val="DefaultParagraphFont"/>
    <w:uiPriority w:val="99"/>
    <w:semiHidden/>
    <w:unhideWhenUsed/>
    <w:rsid w:val="00C1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92619">
      <w:bodyDiv w:val="1"/>
      <w:marLeft w:val="0"/>
      <w:marRight w:val="0"/>
      <w:marTop w:val="0"/>
      <w:marBottom w:val="0"/>
      <w:divBdr>
        <w:top w:val="none" w:sz="0" w:space="0" w:color="auto"/>
        <w:left w:val="none" w:sz="0" w:space="0" w:color="auto"/>
        <w:bottom w:val="none" w:sz="0" w:space="0" w:color="auto"/>
        <w:right w:val="none" w:sz="0" w:space="0" w:color="auto"/>
      </w:divBdr>
    </w:div>
    <w:div w:id="1655836452">
      <w:bodyDiv w:val="1"/>
      <w:marLeft w:val="0"/>
      <w:marRight w:val="0"/>
      <w:marTop w:val="0"/>
      <w:marBottom w:val="0"/>
      <w:divBdr>
        <w:top w:val="none" w:sz="0" w:space="0" w:color="auto"/>
        <w:left w:val="none" w:sz="0" w:space="0" w:color="auto"/>
        <w:bottom w:val="none" w:sz="0" w:space="0" w:color="auto"/>
        <w:right w:val="none" w:sz="0" w:space="0" w:color="auto"/>
      </w:divBdr>
    </w:div>
    <w:div w:id="17451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laws.org/ors/105.464" TargetMode="External"/><Relationship Id="rId3" Type="http://schemas.openxmlformats.org/officeDocument/2006/relationships/settings" Target="settings.xml"/><Relationship Id="rId7" Type="http://schemas.openxmlformats.org/officeDocument/2006/relationships/hyperlink" Target="http://reports.oah.state.nc.us/ncac/title%2021%20-%20occupational%20licensing%20boards%20and%20commissions/chapter%2058%20-%20real%20estate%20commission/subchapter%20a/21%20ncac%2058a%20.050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eports.oah.state.nc.us/ncac/title%2021%20-%20occupational%20licensing%20boards%20and%20commissions/chapter%2058%20-%20real%20estate%20commission/subchapter%20a/21%20ncac%2058a%20.0114.pdf" TargetMode="External"/><Relationship Id="rId5" Type="http://schemas.openxmlformats.org/officeDocument/2006/relationships/hyperlink" Target="http://reports.oah.state.nc.us/ncac/title%2021%20-%20occupational%20licensing%20boards%20and%20commissions/chapter%2058%20-%20real%20estate%20commission/subchapter%20a/21%20ncac%2058a%20.011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46DD-A0D3-1E40-A1DB-9182768D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Menard</dc:creator>
  <cp:lastModifiedBy>Finley Maxson</cp:lastModifiedBy>
  <cp:revision>2</cp:revision>
  <cp:lastPrinted>2018-12-13T21:59:00Z</cp:lastPrinted>
  <dcterms:created xsi:type="dcterms:W3CDTF">2018-12-13T22:00:00Z</dcterms:created>
  <dcterms:modified xsi:type="dcterms:W3CDTF">2018-12-13T22:00:00Z</dcterms:modified>
</cp:coreProperties>
</file>