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6B292" w14:textId="77777777" w:rsidR="00DA107A" w:rsidRDefault="00DA107A" w:rsidP="00DA107A">
      <w:pPr>
        <w:jc w:val="center"/>
        <w:rPr>
          <w:b/>
          <w:sz w:val="28"/>
          <w:szCs w:val="28"/>
        </w:rPr>
      </w:pPr>
      <w:r w:rsidRPr="008B7D35">
        <w:rPr>
          <w:b/>
          <w:sz w:val="28"/>
          <w:szCs w:val="28"/>
        </w:rPr>
        <w:t>NAR Model Citation Policy</w:t>
      </w:r>
    </w:p>
    <w:p w14:paraId="3E3D41F6" w14:textId="77777777" w:rsidR="007325BF" w:rsidRDefault="007325BF" w:rsidP="00DA107A">
      <w:pPr>
        <w:jc w:val="center"/>
        <w:rPr>
          <w:b/>
          <w:sz w:val="28"/>
          <w:szCs w:val="28"/>
        </w:rPr>
      </w:pPr>
    </w:p>
    <w:p w14:paraId="4F1859AD" w14:textId="77777777" w:rsidR="00E51427" w:rsidRDefault="00E51427" w:rsidP="00DA107A">
      <w:pPr>
        <w:rPr>
          <w:szCs w:val="24"/>
        </w:rPr>
      </w:pPr>
    </w:p>
    <w:p w14:paraId="74351D7B" w14:textId="77777777" w:rsidR="00E51427" w:rsidRDefault="00E51427" w:rsidP="00E51427">
      <w:pPr>
        <w:rPr>
          <w:sz w:val="22"/>
        </w:rPr>
      </w:pPr>
    </w:p>
    <w:p w14:paraId="34B8FD82" w14:textId="77777777" w:rsidR="00E51427" w:rsidRDefault="00EF481E" w:rsidP="00E51427">
      <w:r>
        <w:t>This model citation policy and schedule of fines can be adopted by state and local associations. The model policy includes information on the process, how citations are issued, and the circumstances where it can be used. The model schedule of fines details “citable” conduct so state and local associations can determine in advance the fines or education requirements applicable for each citable offense.</w:t>
      </w:r>
    </w:p>
    <w:p w14:paraId="37E22797" w14:textId="77777777" w:rsidR="00E51427" w:rsidRDefault="00E51427" w:rsidP="00DA107A">
      <w:pPr>
        <w:rPr>
          <w:szCs w:val="24"/>
        </w:rPr>
      </w:pPr>
    </w:p>
    <w:p w14:paraId="7A158AA4" w14:textId="77777777" w:rsidR="00DA107A" w:rsidRDefault="00DA107A" w:rsidP="00DA107A">
      <w:pPr>
        <w:rPr>
          <w:szCs w:val="24"/>
        </w:rPr>
      </w:pPr>
      <w:r w:rsidRPr="008B7D35">
        <w:rPr>
          <w:szCs w:val="24"/>
        </w:rPr>
        <w:t xml:space="preserve">Associations adopting this Citation Policy model must </w:t>
      </w:r>
      <w:r>
        <w:rPr>
          <w:szCs w:val="24"/>
        </w:rPr>
        <w:t>also adopt</w:t>
      </w:r>
      <w:r w:rsidRPr="008B7D35">
        <w:rPr>
          <w:szCs w:val="24"/>
        </w:rPr>
        <w:t xml:space="preserve"> a “Citation Schedule” of potential violations </w:t>
      </w:r>
      <w:proofErr w:type="gramStart"/>
      <w:r w:rsidRPr="008B7D35">
        <w:rPr>
          <w:szCs w:val="24"/>
        </w:rPr>
        <w:t>covered, and</w:t>
      </w:r>
      <w:proofErr w:type="gramEnd"/>
      <w:r w:rsidRPr="008B7D35">
        <w:rPr>
          <w:szCs w:val="24"/>
        </w:rPr>
        <w:t xml:space="preserve"> must specify the fines that apply to those violations. Information about the Ethics Citation Program, including the Citation Schedule, will be provided </w:t>
      </w:r>
      <w:r>
        <w:rPr>
          <w:szCs w:val="24"/>
        </w:rPr>
        <w:t>as part of</w:t>
      </w:r>
      <w:r w:rsidRPr="008B7D35">
        <w:rPr>
          <w:szCs w:val="24"/>
        </w:rPr>
        <w:t xml:space="preserve"> the information sent to potential complainants considering filing ethics complaints with the association. </w:t>
      </w:r>
      <w:r>
        <w:rPr>
          <w:szCs w:val="24"/>
        </w:rPr>
        <w:t xml:space="preserve"> </w:t>
      </w:r>
    </w:p>
    <w:p w14:paraId="2774BE06" w14:textId="77777777" w:rsidR="00DA107A" w:rsidRDefault="00DA107A" w:rsidP="00DA107A">
      <w:pPr>
        <w:rPr>
          <w:szCs w:val="24"/>
        </w:rPr>
      </w:pPr>
    </w:p>
    <w:p w14:paraId="44AABD2D" w14:textId="77777777" w:rsidR="00DA107A" w:rsidRDefault="00DA107A" w:rsidP="00DA107A">
      <w:pPr>
        <w:rPr>
          <w:szCs w:val="24"/>
        </w:rPr>
      </w:pPr>
      <w:r>
        <w:rPr>
          <w:szCs w:val="24"/>
        </w:rPr>
        <w:t xml:space="preserve">Associations adopting this Citation Policy shall establish a Citation Panel, comprised of at least three (3) individuals, who will review complaints to determine eligibility for the citation program and the appropriate citations. It is recommended that the Citation Panel be a subset of the association’s Professional Standards Committee, and that the individuals on the Citation Panel have a high level of experience in hearing professional standards cases.  </w:t>
      </w:r>
    </w:p>
    <w:p w14:paraId="65284EBF" w14:textId="77777777" w:rsidR="00DA107A" w:rsidRDefault="00DA107A" w:rsidP="00DA107A">
      <w:pPr>
        <w:rPr>
          <w:szCs w:val="24"/>
        </w:rPr>
      </w:pPr>
    </w:p>
    <w:p w14:paraId="5661E8B3" w14:textId="77777777" w:rsidR="00DA107A" w:rsidRDefault="00DA107A" w:rsidP="00DA107A">
      <w:pPr>
        <w:rPr>
          <w:szCs w:val="24"/>
        </w:rPr>
      </w:pPr>
      <w:r>
        <w:rPr>
          <w:szCs w:val="24"/>
        </w:rPr>
        <w:t>Complaints must be filed within one hundred eighty (180) days after the facts constituting the matter complained of could have been known in the exercise of reasonable diligence or within one hundred eighty (180) days after the conclusion of the transaction or event, whichever is later.</w:t>
      </w:r>
    </w:p>
    <w:p w14:paraId="052909C6" w14:textId="77777777" w:rsidR="00DA107A" w:rsidRDefault="00DA107A" w:rsidP="00DA107A">
      <w:pPr>
        <w:rPr>
          <w:szCs w:val="24"/>
        </w:rPr>
      </w:pPr>
    </w:p>
    <w:p w14:paraId="1268B63E" w14:textId="77777777" w:rsidR="00DA107A" w:rsidRPr="008B7D35" w:rsidRDefault="00DA107A" w:rsidP="00DA107A">
      <w:pPr>
        <w:rPr>
          <w:szCs w:val="24"/>
        </w:rPr>
      </w:pPr>
      <w:r>
        <w:rPr>
          <w:szCs w:val="24"/>
        </w:rPr>
        <w:t xml:space="preserve">Any citation policy adopted by local or state associations after approval of this policy by the NAR Board of Directors cannot cite violations based on Articles or Standards of Practice other than those spelled out in this policy, cannot impose fines </w:t>
      </w:r>
      <w:proofErr w:type="gramStart"/>
      <w:r>
        <w:rPr>
          <w:szCs w:val="24"/>
        </w:rPr>
        <w:t>in excess of</w:t>
      </w:r>
      <w:proofErr w:type="gramEnd"/>
      <w:r>
        <w:rPr>
          <w:szCs w:val="24"/>
        </w:rPr>
        <w:t xml:space="preserve"> those in the policy, and cannot be utilized more frequently than provided for in this policy. </w:t>
      </w:r>
    </w:p>
    <w:p w14:paraId="56241CAC" w14:textId="77777777" w:rsidR="00DA107A" w:rsidRPr="008B7D35" w:rsidRDefault="00DA107A" w:rsidP="00DA107A">
      <w:pPr>
        <w:rPr>
          <w:szCs w:val="24"/>
        </w:rPr>
      </w:pPr>
    </w:p>
    <w:p w14:paraId="426CDC82" w14:textId="77777777" w:rsidR="00DA107A" w:rsidRDefault="00DA107A" w:rsidP="00DA107A">
      <w:pPr>
        <w:rPr>
          <w:szCs w:val="24"/>
        </w:rPr>
      </w:pPr>
      <w:r w:rsidRPr="008B7D35">
        <w:rPr>
          <w:b/>
          <w:szCs w:val="24"/>
        </w:rPr>
        <w:t xml:space="preserve">Initial Review by </w:t>
      </w:r>
      <w:r>
        <w:rPr>
          <w:b/>
          <w:szCs w:val="24"/>
        </w:rPr>
        <w:t>Grievance Committee and Citation Panel</w:t>
      </w:r>
    </w:p>
    <w:p w14:paraId="655441E3" w14:textId="77777777" w:rsidR="00DA107A" w:rsidRPr="001B3F03" w:rsidRDefault="00DA107A" w:rsidP="00DA107A">
      <w:pPr>
        <w:rPr>
          <w:szCs w:val="24"/>
        </w:rPr>
      </w:pPr>
    </w:p>
    <w:p w14:paraId="6C70996C" w14:textId="77777777" w:rsidR="00DA107A" w:rsidRDefault="00DA107A" w:rsidP="00DA107A">
      <w:pPr>
        <w:pStyle w:val="ListParagraph"/>
        <w:numPr>
          <w:ilvl w:val="0"/>
          <w:numId w:val="27"/>
        </w:numPr>
        <w:spacing w:after="0" w:line="240" w:lineRule="auto"/>
        <w:ind w:left="720"/>
        <w:rPr>
          <w:rFonts w:ascii="Times New Roman" w:hAnsi="Times New Roman"/>
          <w:sz w:val="24"/>
          <w:szCs w:val="24"/>
        </w:rPr>
      </w:pPr>
      <w:r w:rsidRPr="008B7D35">
        <w:rPr>
          <w:rFonts w:ascii="Times New Roman" w:hAnsi="Times New Roman"/>
          <w:sz w:val="24"/>
          <w:szCs w:val="24"/>
        </w:rPr>
        <w:t xml:space="preserve">When a Grievance Committee receives a written ethics complaint, it will review the complaint </w:t>
      </w:r>
      <w:r>
        <w:rPr>
          <w:rFonts w:ascii="Times New Roman" w:hAnsi="Times New Roman"/>
          <w:sz w:val="24"/>
          <w:szCs w:val="24"/>
        </w:rPr>
        <w:t xml:space="preserve">consistent with Sections 19 and 20 of the current NAR </w:t>
      </w:r>
      <w:r>
        <w:rPr>
          <w:rFonts w:ascii="Times New Roman" w:hAnsi="Times New Roman"/>
          <w:i/>
          <w:sz w:val="24"/>
          <w:szCs w:val="24"/>
        </w:rPr>
        <w:t>Code of Ethics and Arbitration Manual</w:t>
      </w:r>
      <w:r>
        <w:rPr>
          <w:rFonts w:ascii="Times New Roman" w:hAnsi="Times New Roman"/>
          <w:sz w:val="24"/>
          <w:szCs w:val="24"/>
        </w:rPr>
        <w:t xml:space="preserve">. </w:t>
      </w:r>
      <w:r w:rsidRPr="008B7D35">
        <w:rPr>
          <w:rFonts w:ascii="Times New Roman" w:hAnsi="Times New Roman"/>
          <w:sz w:val="24"/>
          <w:szCs w:val="24"/>
        </w:rPr>
        <w:t xml:space="preserve"> </w:t>
      </w:r>
      <w:r>
        <w:rPr>
          <w:rFonts w:ascii="Times New Roman" w:hAnsi="Times New Roman"/>
          <w:sz w:val="24"/>
          <w:szCs w:val="24"/>
        </w:rPr>
        <w:t xml:space="preserve">The Grievance Committee may add or delete articles or respondents at this stage in the proceedings. </w:t>
      </w:r>
    </w:p>
    <w:p w14:paraId="36BABD05" w14:textId="77777777" w:rsidR="00DA107A" w:rsidRPr="00AA5501" w:rsidRDefault="00DA107A" w:rsidP="00DA107A">
      <w:pPr>
        <w:pStyle w:val="ListParagraph"/>
        <w:spacing w:after="0" w:line="240" w:lineRule="auto"/>
        <w:rPr>
          <w:rFonts w:ascii="Times New Roman" w:hAnsi="Times New Roman"/>
          <w:sz w:val="24"/>
          <w:szCs w:val="24"/>
        </w:rPr>
      </w:pPr>
    </w:p>
    <w:p w14:paraId="34F23B2A" w14:textId="77777777" w:rsidR="00DA107A" w:rsidRPr="008B7D35" w:rsidRDefault="00DA107A" w:rsidP="00DA107A">
      <w:pPr>
        <w:pStyle w:val="ListParagraph"/>
        <w:numPr>
          <w:ilvl w:val="0"/>
          <w:numId w:val="27"/>
        </w:numPr>
        <w:spacing w:after="0" w:line="240" w:lineRule="auto"/>
        <w:ind w:left="720"/>
        <w:rPr>
          <w:rFonts w:ascii="Times New Roman" w:hAnsi="Times New Roman"/>
          <w:sz w:val="24"/>
          <w:szCs w:val="24"/>
        </w:rPr>
      </w:pPr>
      <w:r w:rsidRPr="008B7D35">
        <w:rPr>
          <w:rFonts w:ascii="Times New Roman" w:hAnsi="Times New Roman"/>
          <w:sz w:val="24"/>
          <w:szCs w:val="24"/>
        </w:rPr>
        <w:t xml:space="preserve">If the </w:t>
      </w:r>
      <w:r>
        <w:rPr>
          <w:rFonts w:ascii="Times New Roman" w:hAnsi="Times New Roman"/>
          <w:sz w:val="24"/>
          <w:szCs w:val="24"/>
        </w:rPr>
        <w:t>Grievance Committee determines that the complaint should be forwarded for a hearing</w:t>
      </w:r>
      <w:r w:rsidRPr="008B7D35">
        <w:rPr>
          <w:rFonts w:ascii="Times New Roman" w:hAnsi="Times New Roman"/>
          <w:sz w:val="24"/>
          <w:szCs w:val="24"/>
        </w:rPr>
        <w:t xml:space="preserve">, the Grievance Committee will </w:t>
      </w:r>
      <w:r>
        <w:rPr>
          <w:rFonts w:ascii="Times New Roman" w:hAnsi="Times New Roman"/>
          <w:sz w:val="24"/>
          <w:szCs w:val="24"/>
        </w:rPr>
        <w:t>first forward</w:t>
      </w:r>
      <w:r w:rsidRPr="008B7D35">
        <w:rPr>
          <w:rFonts w:ascii="Times New Roman" w:hAnsi="Times New Roman"/>
          <w:sz w:val="24"/>
          <w:szCs w:val="24"/>
        </w:rPr>
        <w:t xml:space="preserve"> the complaint to</w:t>
      </w:r>
      <w:r>
        <w:rPr>
          <w:rFonts w:ascii="Times New Roman" w:hAnsi="Times New Roman"/>
          <w:sz w:val="24"/>
          <w:szCs w:val="24"/>
        </w:rPr>
        <w:t xml:space="preserve"> the Association’s Citation Panel to</w:t>
      </w:r>
      <w:r w:rsidRPr="008B7D35">
        <w:rPr>
          <w:rFonts w:ascii="Times New Roman" w:hAnsi="Times New Roman"/>
          <w:sz w:val="24"/>
          <w:szCs w:val="24"/>
        </w:rPr>
        <w:t xml:space="preserve"> determine if it includes allegations covered by the Citation Schedule, i.e., if it is a “citable offense”.</w:t>
      </w:r>
    </w:p>
    <w:p w14:paraId="4BD485A3" w14:textId="77777777" w:rsidR="00DA107A" w:rsidRPr="008B7D35" w:rsidRDefault="00DA107A" w:rsidP="00DA107A">
      <w:pPr>
        <w:pStyle w:val="ListParagraph"/>
        <w:spacing w:after="0" w:line="240" w:lineRule="auto"/>
        <w:rPr>
          <w:rFonts w:ascii="Times New Roman" w:hAnsi="Times New Roman"/>
          <w:sz w:val="24"/>
          <w:szCs w:val="24"/>
        </w:rPr>
      </w:pPr>
    </w:p>
    <w:p w14:paraId="33178DB7" w14:textId="77777777" w:rsidR="00DA107A" w:rsidRPr="008B7D35" w:rsidRDefault="00DA107A" w:rsidP="00DA107A">
      <w:pPr>
        <w:pStyle w:val="ListParagraph"/>
        <w:numPr>
          <w:ilvl w:val="0"/>
          <w:numId w:val="28"/>
        </w:numPr>
        <w:spacing w:after="0" w:line="240" w:lineRule="auto"/>
        <w:ind w:left="1080"/>
        <w:rPr>
          <w:rFonts w:ascii="Times New Roman" w:hAnsi="Times New Roman"/>
          <w:sz w:val="24"/>
          <w:szCs w:val="24"/>
        </w:rPr>
      </w:pPr>
      <w:r w:rsidRPr="008B7D35">
        <w:rPr>
          <w:rFonts w:ascii="Times New Roman" w:hAnsi="Times New Roman"/>
          <w:sz w:val="24"/>
          <w:szCs w:val="24"/>
        </w:rPr>
        <w:t xml:space="preserve">If the complaint does not include alleged violations included in the Citation Schedule, or it includes some covered by the Citation Schedule and some that are not, the complaint shall be referred </w:t>
      </w:r>
      <w:r>
        <w:rPr>
          <w:rFonts w:ascii="Times New Roman" w:hAnsi="Times New Roman"/>
          <w:sz w:val="24"/>
          <w:szCs w:val="24"/>
        </w:rPr>
        <w:t xml:space="preserve">to the Professional Standards Committee </w:t>
      </w:r>
      <w:r w:rsidRPr="008B7D35">
        <w:rPr>
          <w:rFonts w:ascii="Times New Roman" w:hAnsi="Times New Roman"/>
          <w:sz w:val="24"/>
          <w:szCs w:val="24"/>
        </w:rPr>
        <w:t xml:space="preserve">for hearing </w:t>
      </w:r>
      <w:r w:rsidRPr="008B7D35">
        <w:rPr>
          <w:rFonts w:ascii="Times New Roman" w:hAnsi="Times New Roman"/>
          <w:sz w:val="24"/>
          <w:szCs w:val="24"/>
        </w:rPr>
        <w:lastRenderedPageBreak/>
        <w:t xml:space="preserve">consistent with the policies and procedures set forth in the </w:t>
      </w:r>
      <w:r w:rsidRPr="008B7D35">
        <w:rPr>
          <w:rFonts w:ascii="Times New Roman" w:hAnsi="Times New Roman"/>
          <w:i/>
          <w:sz w:val="24"/>
          <w:szCs w:val="24"/>
        </w:rPr>
        <w:t>Code of Ethics and Arbitration Manual</w:t>
      </w:r>
      <w:r w:rsidRPr="008B7D35">
        <w:rPr>
          <w:rFonts w:ascii="Times New Roman" w:hAnsi="Times New Roman"/>
          <w:sz w:val="24"/>
          <w:szCs w:val="24"/>
        </w:rPr>
        <w:t xml:space="preserve"> for ethics hearings. </w:t>
      </w:r>
    </w:p>
    <w:p w14:paraId="29A4749B" w14:textId="77777777" w:rsidR="00DA107A" w:rsidRPr="008B7D35" w:rsidRDefault="00DA107A" w:rsidP="00DA107A">
      <w:pPr>
        <w:pStyle w:val="ListParagraph"/>
        <w:spacing w:after="0" w:line="240" w:lineRule="auto"/>
        <w:ind w:left="1080"/>
        <w:rPr>
          <w:rFonts w:ascii="Times New Roman" w:hAnsi="Times New Roman"/>
          <w:sz w:val="24"/>
          <w:szCs w:val="24"/>
        </w:rPr>
      </w:pPr>
    </w:p>
    <w:p w14:paraId="251A30F5" w14:textId="77777777" w:rsidR="00DA107A" w:rsidRPr="00D9505D" w:rsidRDefault="00DA107A" w:rsidP="00DA107A">
      <w:pPr>
        <w:pStyle w:val="ListParagraph"/>
        <w:numPr>
          <w:ilvl w:val="0"/>
          <w:numId w:val="28"/>
        </w:numPr>
        <w:spacing w:after="0" w:line="240" w:lineRule="auto"/>
        <w:ind w:left="1080"/>
        <w:rPr>
          <w:rFonts w:ascii="Times New Roman" w:hAnsi="Times New Roman"/>
          <w:sz w:val="24"/>
          <w:szCs w:val="24"/>
        </w:rPr>
      </w:pPr>
      <w:r w:rsidRPr="00D9505D">
        <w:rPr>
          <w:rFonts w:ascii="Times New Roman" w:hAnsi="Times New Roman"/>
          <w:sz w:val="24"/>
          <w:szCs w:val="24"/>
        </w:rPr>
        <w:t xml:space="preserve">If the complaint includes </w:t>
      </w:r>
      <w:r w:rsidRPr="00D9505D">
        <w:rPr>
          <w:rFonts w:ascii="Times New Roman" w:hAnsi="Times New Roman"/>
          <w:i/>
          <w:sz w:val="24"/>
          <w:szCs w:val="24"/>
        </w:rPr>
        <w:t>only</w:t>
      </w:r>
      <w:r w:rsidRPr="00D9505D">
        <w:rPr>
          <w:rFonts w:ascii="Times New Roman" w:hAnsi="Times New Roman"/>
          <w:sz w:val="24"/>
          <w:szCs w:val="24"/>
        </w:rPr>
        <w:t xml:space="preserve"> allegations of violations included in the Citation Schedule, the Citation Panel will issue a citation and impose discipline consistent with the association’s Citation Schedule.  In the event the members of the Citation Panel determine the conduct described in the complaint</w:t>
      </w:r>
      <w:r w:rsidR="00D9505D">
        <w:rPr>
          <w:rFonts w:ascii="Times New Roman" w:hAnsi="Times New Roman"/>
          <w:sz w:val="24"/>
          <w:szCs w:val="24"/>
        </w:rPr>
        <w:t xml:space="preserve"> </w:t>
      </w:r>
      <w:r w:rsidRPr="00D9505D">
        <w:rPr>
          <w:rFonts w:ascii="Times New Roman" w:hAnsi="Times New Roman"/>
          <w:sz w:val="24"/>
          <w:szCs w:val="24"/>
        </w:rPr>
        <w:t xml:space="preserve">is sufficiently egregious to warrant a hearing rather than a citation, the complaint shall be referred to the Professional Standards Committee for hearing consistent with the policies and procedures set forth in the </w:t>
      </w:r>
      <w:r w:rsidRPr="00D9505D">
        <w:rPr>
          <w:rFonts w:ascii="Times New Roman" w:hAnsi="Times New Roman"/>
          <w:i/>
          <w:sz w:val="24"/>
          <w:szCs w:val="24"/>
        </w:rPr>
        <w:t>Code of Ethics and Arbitration Manual</w:t>
      </w:r>
      <w:r w:rsidRPr="00D9505D">
        <w:rPr>
          <w:rFonts w:ascii="Times New Roman" w:hAnsi="Times New Roman"/>
          <w:sz w:val="24"/>
          <w:szCs w:val="24"/>
        </w:rPr>
        <w:t xml:space="preserve"> for ethics hearings.</w:t>
      </w:r>
    </w:p>
    <w:p w14:paraId="78D4E7E3" w14:textId="77777777" w:rsidR="00DA107A" w:rsidRPr="007675F9" w:rsidRDefault="00DA107A" w:rsidP="007675F9">
      <w:pPr>
        <w:pStyle w:val="ListParagraph"/>
        <w:spacing w:after="0" w:line="240" w:lineRule="auto"/>
        <w:ind w:left="1080" w:hanging="360"/>
        <w:rPr>
          <w:rFonts w:ascii="Times New Roman" w:hAnsi="Times New Roman"/>
          <w:sz w:val="24"/>
          <w:szCs w:val="24"/>
        </w:rPr>
      </w:pPr>
    </w:p>
    <w:p w14:paraId="1AD0FB35" w14:textId="77777777" w:rsidR="007675F9" w:rsidRPr="000A6CF5" w:rsidRDefault="007675F9" w:rsidP="007675F9">
      <w:pPr>
        <w:pStyle w:val="ListParagraph"/>
        <w:numPr>
          <w:ilvl w:val="0"/>
          <w:numId w:val="28"/>
        </w:numPr>
        <w:ind w:left="1080"/>
        <w:rPr>
          <w:rFonts w:ascii="Times New Roman" w:hAnsi="Times New Roman"/>
          <w:sz w:val="24"/>
          <w:szCs w:val="24"/>
        </w:rPr>
      </w:pPr>
      <w:r w:rsidRPr="000A6CF5">
        <w:rPr>
          <w:rFonts w:ascii="Times New Roman" w:hAnsi="Times New Roman"/>
          <w:sz w:val="24"/>
          <w:szCs w:val="24"/>
        </w:rPr>
        <w:t xml:space="preserve">When an ethics complaint and an arbitration request arising out of the same facts and circumstances are filed at the same time, the arbitration hearing shall be held first, and the citation(s) issued or ethics hearing held after the conclusion of the arbitration hearing consistent with Professional Standards Policy Statement #35, Separation of Ethics Complaint and Arbitration Request, </w:t>
      </w:r>
      <w:r w:rsidRPr="000A6CF5">
        <w:rPr>
          <w:rFonts w:ascii="Times New Roman" w:hAnsi="Times New Roman"/>
          <w:i/>
          <w:sz w:val="24"/>
          <w:szCs w:val="24"/>
        </w:rPr>
        <w:t>Code of Ethics and Arbitration Manual</w:t>
      </w:r>
      <w:r w:rsidRPr="000A6CF5">
        <w:rPr>
          <w:rFonts w:ascii="Times New Roman" w:hAnsi="Times New Roman"/>
          <w:sz w:val="24"/>
          <w:szCs w:val="24"/>
        </w:rPr>
        <w:t>.</w:t>
      </w:r>
    </w:p>
    <w:p w14:paraId="5E41F0F3" w14:textId="77777777" w:rsidR="007675F9" w:rsidRDefault="007675F9" w:rsidP="00DA107A">
      <w:pPr>
        <w:pStyle w:val="ListParagraph"/>
        <w:spacing w:after="0" w:line="240" w:lineRule="auto"/>
        <w:ind w:left="0"/>
        <w:rPr>
          <w:rFonts w:ascii="Times New Roman" w:hAnsi="Times New Roman"/>
          <w:sz w:val="24"/>
          <w:szCs w:val="24"/>
        </w:rPr>
      </w:pPr>
    </w:p>
    <w:p w14:paraId="22C58C2C" w14:textId="77777777" w:rsidR="00DA107A" w:rsidRDefault="00DA107A" w:rsidP="00DA107A">
      <w:pPr>
        <w:rPr>
          <w:szCs w:val="24"/>
        </w:rPr>
      </w:pPr>
      <w:r>
        <w:rPr>
          <w:b/>
          <w:szCs w:val="24"/>
        </w:rPr>
        <w:t>Issuance of Citations</w:t>
      </w:r>
    </w:p>
    <w:p w14:paraId="0F9F2B0F" w14:textId="77777777" w:rsidR="00DA107A" w:rsidRPr="001B3F03" w:rsidRDefault="00DA107A" w:rsidP="00DA107A">
      <w:pPr>
        <w:rPr>
          <w:szCs w:val="24"/>
        </w:rPr>
      </w:pPr>
    </w:p>
    <w:p w14:paraId="6843A554" w14:textId="77777777" w:rsidR="00DA107A" w:rsidRPr="008B7D35" w:rsidRDefault="00DA107A" w:rsidP="00DA107A">
      <w:pPr>
        <w:pStyle w:val="ListParagraph"/>
        <w:numPr>
          <w:ilvl w:val="0"/>
          <w:numId w:val="29"/>
        </w:numPr>
        <w:spacing w:after="0" w:line="240" w:lineRule="auto"/>
        <w:ind w:left="720"/>
        <w:rPr>
          <w:rFonts w:ascii="Times New Roman" w:hAnsi="Times New Roman"/>
          <w:sz w:val="24"/>
          <w:szCs w:val="24"/>
        </w:rPr>
      </w:pPr>
      <w:r w:rsidRPr="008B7D35">
        <w:rPr>
          <w:rFonts w:ascii="Times New Roman" w:hAnsi="Times New Roman"/>
          <w:sz w:val="24"/>
          <w:szCs w:val="24"/>
        </w:rPr>
        <w:t xml:space="preserve">Citations will be sent to respondents. </w:t>
      </w:r>
      <w:r>
        <w:rPr>
          <w:rFonts w:ascii="Times New Roman" w:hAnsi="Times New Roman"/>
          <w:sz w:val="24"/>
          <w:szCs w:val="24"/>
        </w:rPr>
        <w:t xml:space="preserve"> A copy of the c</w:t>
      </w:r>
      <w:r w:rsidRPr="008B7D35">
        <w:rPr>
          <w:rFonts w:ascii="Times New Roman" w:hAnsi="Times New Roman"/>
          <w:sz w:val="24"/>
          <w:szCs w:val="24"/>
        </w:rPr>
        <w:t xml:space="preserve">itation </w:t>
      </w:r>
      <w:r>
        <w:rPr>
          <w:rFonts w:ascii="Times New Roman" w:hAnsi="Times New Roman"/>
          <w:sz w:val="24"/>
          <w:szCs w:val="24"/>
        </w:rPr>
        <w:t>shall</w:t>
      </w:r>
      <w:r w:rsidRPr="008B7D35">
        <w:rPr>
          <w:rFonts w:ascii="Times New Roman" w:hAnsi="Times New Roman"/>
          <w:sz w:val="24"/>
          <w:szCs w:val="24"/>
        </w:rPr>
        <w:t xml:space="preserve"> also be sent to the REALTOR</w:t>
      </w:r>
      <w:r w:rsidRPr="001B3F03">
        <w:rPr>
          <w:rFonts w:ascii="Times New Roman" w:hAnsi="Times New Roman"/>
          <w:sz w:val="24"/>
          <w:szCs w:val="24"/>
          <w:vertAlign w:val="superscript"/>
        </w:rPr>
        <w:t>®</w:t>
      </w:r>
      <w:r w:rsidRPr="008B7D35">
        <w:rPr>
          <w:rFonts w:ascii="Times New Roman" w:hAnsi="Times New Roman"/>
          <w:sz w:val="24"/>
          <w:szCs w:val="24"/>
        </w:rPr>
        <w:t xml:space="preserve"> principal of respondents’</w:t>
      </w:r>
      <w:r>
        <w:rPr>
          <w:rFonts w:ascii="Times New Roman" w:hAnsi="Times New Roman"/>
          <w:sz w:val="24"/>
          <w:szCs w:val="24"/>
        </w:rPr>
        <w:t xml:space="preserve"> office.  If the respondent changes firms before or after the complaint is filed but before the citation is issued, both the former and current REALTOR</w:t>
      </w:r>
      <w:r w:rsidRPr="001B3F03">
        <w:rPr>
          <w:rFonts w:ascii="Times New Roman" w:hAnsi="Times New Roman"/>
          <w:sz w:val="24"/>
          <w:szCs w:val="24"/>
          <w:vertAlign w:val="superscript"/>
        </w:rPr>
        <w:t>®</w:t>
      </w:r>
      <w:r>
        <w:rPr>
          <w:rFonts w:ascii="Times New Roman" w:hAnsi="Times New Roman"/>
          <w:sz w:val="24"/>
          <w:szCs w:val="24"/>
        </w:rPr>
        <w:t xml:space="preserve"> principal will receive a copy of the citation. </w:t>
      </w:r>
    </w:p>
    <w:p w14:paraId="062A8147" w14:textId="77777777" w:rsidR="00DA107A" w:rsidRPr="008B7D35" w:rsidRDefault="00DA107A" w:rsidP="00DA107A">
      <w:pPr>
        <w:pStyle w:val="ListParagraph"/>
        <w:rPr>
          <w:rFonts w:ascii="Times New Roman" w:hAnsi="Times New Roman"/>
          <w:sz w:val="24"/>
          <w:szCs w:val="24"/>
        </w:rPr>
      </w:pPr>
    </w:p>
    <w:p w14:paraId="27AE3AA4" w14:textId="77777777" w:rsidR="00DA107A" w:rsidRPr="008B7D35" w:rsidRDefault="00DA107A" w:rsidP="00DA107A">
      <w:pPr>
        <w:pStyle w:val="ListParagraph"/>
        <w:numPr>
          <w:ilvl w:val="0"/>
          <w:numId w:val="23"/>
        </w:numPr>
        <w:spacing w:after="0" w:line="240" w:lineRule="auto"/>
        <w:rPr>
          <w:rFonts w:ascii="Times New Roman" w:hAnsi="Times New Roman"/>
          <w:sz w:val="24"/>
          <w:szCs w:val="24"/>
        </w:rPr>
      </w:pPr>
      <w:r w:rsidRPr="008B7D35">
        <w:rPr>
          <w:rFonts w:ascii="Times New Roman" w:hAnsi="Times New Roman"/>
          <w:sz w:val="24"/>
          <w:szCs w:val="24"/>
        </w:rPr>
        <w:t xml:space="preserve">Staff will prepare a written summary of the </w:t>
      </w:r>
      <w:proofErr w:type="gramStart"/>
      <w:r w:rsidRPr="008B7D35">
        <w:rPr>
          <w:rFonts w:ascii="Times New Roman" w:hAnsi="Times New Roman"/>
          <w:sz w:val="24"/>
          <w:szCs w:val="24"/>
        </w:rPr>
        <w:t>complaint</w:t>
      </w:r>
      <w:proofErr w:type="gramEnd"/>
      <w:r w:rsidRPr="008B7D35">
        <w:rPr>
          <w:rFonts w:ascii="Times New Roman" w:hAnsi="Times New Roman"/>
          <w:sz w:val="24"/>
          <w:szCs w:val="24"/>
        </w:rPr>
        <w:t xml:space="preserve"> and the summary will be included with the citation to give the respondent sufficient information to understand the basis of the citation. </w:t>
      </w:r>
    </w:p>
    <w:p w14:paraId="620C61BE" w14:textId="77777777" w:rsidR="00DA107A" w:rsidRPr="008B7D35" w:rsidRDefault="00DA107A" w:rsidP="00DA107A">
      <w:pPr>
        <w:pStyle w:val="ListParagraph"/>
        <w:spacing w:after="0" w:line="240" w:lineRule="auto"/>
        <w:ind w:left="1080"/>
        <w:rPr>
          <w:rFonts w:ascii="Times New Roman" w:hAnsi="Times New Roman"/>
          <w:sz w:val="24"/>
          <w:szCs w:val="24"/>
        </w:rPr>
      </w:pPr>
    </w:p>
    <w:p w14:paraId="100EB0C2" w14:textId="77777777" w:rsidR="00DA107A" w:rsidRPr="008B7D35" w:rsidRDefault="00DA107A" w:rsidP="00DA107A">
      <w:pPr>
        <w:pStyle w:val="ListParagraph"/>
        <w:numPr>
          <w:ilvl w:val="0"/>
          <w:numId w:val="23"/>
        </w:numPr>
        <w:spacing w:after="0" w:line="240" w:lineRule="auto"/>
        <w:rPr>
          <w:rFonts w:ascii="Times New Roman" w:hAnsi="Times New Roman"/>
          <w:sz w:val="24"/>
          <w:szCs w:val="24"/>
        </w:rPr>
      </w:pPr>
      <w:r w:rsidRPr="008B7D35">
        <w:rPr>
          <w:rFonts w:ascii="Times New Roman" w:hAnsi="Times New Roman"/>
          <w:i/>
          <w:sz w:val="24"/>
          <w:szCs w:val="24"/>
        </w:rPr>
        <w:t>At the option of the association</w:t>
      </w:r>
      <w:r w:rsidRPr="008B7D35">
        <w:rPr>
          <w:rFonts w:ascii="Times New Roman" w:hAnsi="Times New Roman"/>
          <w:sz w:val="24"/>
          <w:szCs w:val="24"/>
        </w:rPr>
        <w:t>, the complaint itself may be provided to the respondent, including the identity of the complainant.</w:t>
      </w:r>
      <w:r>
        <w:rPr>
          <w:rFonts w:ascii="Times New Roman" w:hAnsi="Times New Roman"/>
          <w:sz w:val="24"/>
          <w:szCs w:val="24"/>
        </w:rPr>
        <w:t xml:space="preserve"> </w:t>
      </w:r>
      <w:r w:rsidRPr="008B7D35">
        <w:rPr>
          <w:rFonts w:ascii="Times New Roman" w:hAnsi="Times New Roman"/>
          <w:sz w:val="24"/>
          <w:szCs w:val="24"/>
        </w:rPr>
        <w:t xml:space="preserve"> </w:t>
      </w:r>
      <w:r w:rsidRPr="008B7D35">
        <w:rPr>
          <w:rFonts w:ascii="Times New Roman" w:hAnsi="Times New Roman"/>
          <w:i/>
          <w:sz w:val="24"/>
          <w:szCs w:val="24"/>
        </w:rPr>
        <w:t>Alternatively</w:t>
      </w:r>
      <w:r w:rsidRPr="008B7D35">
        <w:rPr>
          <w:rFonts w:ascii="Times New Roman" w:hAnsi="Times New Roman"/>
          <w:sz w:val="24"/>
          <w:szCs w:val="24"/>
        </w:rPr>
        <w:t>, the complaint itself and the identity of the complainant may be kept confidential and unavailable to the respondent.</w:t>
      </w:r>
      <w:r>
        <w:rPr>
          <w:rFonts w:ascii="Times New Roman" w:hAnsi="Times New Roman"/>
          <w:sz w:val="24"/>
          <w:szCs w:val="24"/>
        </w:rPr>
        <w:t xml:space="preserve"> </w:t>
      </w:r>
      <w:r w:rsidRPr="008B7D35">
        <w:rPr>
          <w:rFonts w:ascii="Times New Roman" w:hAnsi="Times New Roman"/>
          <w:sz w:val="24"/>
          <w:szCs w:val="24"/>
        </w:rPr>
        <w:t xml:space="preserve"> The practice of the association should be established in advance and followed consistently.</w:t>
      </w:r>
      <w:r>
        <w:rPr>
          <w:rFonts w:ascii="Times New Roman" w:hAnsi="Times New Roman"/>
          <w:sz w:val="24"/>
          <w:szCs w:val="24"/>
        </w:rPr>
        <w:t xml:space="preserve"> </w:t>
      </w:r>
      <w:r w:rsidRPr="008B7D35">
        <w:rPr>
          <w:rFonts w:ascii="Times New Roman" w:hAnsi="Times New Roman"/>
          <w:sz w:val="24"/>
          <w:szCs w:val="24"/>
        </w:rPr>
        <w:t xml:space="preserve"> </w:t>
      </w:r>
      <w:r>
        <w:rPr>
          <w:rFonts w:ascii="Times New Roman" w:hAnsi="Times New Roman"/>
          <w:sz w:val="24"/>
          <w:szCs w:val="24"/>
        </w:rPr>
        <w:t xml:space="preserve">If an association has adopted the practice of allowing the identity of the complainant to be kept confidential, the complainant shall be advised when filing a complaint that their identity will not remain confidential should the respondent request a hearing. </w:t>
      </w:r>
    </w:p>
    <w:p w14:paraId="1E9FCA2F" w14:textId="77777777" w:rsidR="00DA107A" w:rsidRPr="008B7D35" w:rsidRDefault="00DA107A" w:rsidP="00625B2D">
      <w:pPr>
        <w:pStyle w:val="ListParagraph"/>
        <w:spacing w:after="0" w:line="240" w:lineRule="auto"/>
        <w:ind w:hanging="360"/>
        <w:rPr>
          <w:rFonts w:ascii="Times New Roman" w:hAnsi="Times New Roman"/>
          <w:sz w:val="24"/>
          <w:szCs w:val="24"/>
        </w:rPr>
      </w:pPr>
    </w:p>
    <w:p w14:paraId="731C4064" w14:textId="77777777" w:rsidR="00DA107A" w:rsidRPr="008B7D35" w:rsidRDefault="00DA107A" w:rsidP="00625B2D">
      <w:pPr>
        <w:pStyle w:val="ListParagraph"/>
        <w:numPr>
          <w:ilvl w:val="0"/>
          <w:numId w:val="29"/>
        </w:numPr>
        <w:spacing w:after="0" w:line="240" w:lineRule="auto"/>
        <w:ind w:left="720"/>
        <w:rPr>
          <w:rFonts w:ascii="Times New Roman" w:hAnsi="Times New Roman"/>
          <w:sz w:val="24"/>
          <w:szCs w:val="24"/>
        </w:rPr>
      </w:pPr>
      <w:r w:rsidRPr="008B7D35">
        <w:rPr>
          <w:rFonts w:ascii="Times New Roman" w:hAnsi="Times New Roman"/>
          <w:sz w:val="24"/>
          <w:szCs w:val="24"/>
        </w:rPr>
        <w:t xml:space="preserve">The respondent will have twenty (20) days from </w:t>
      </w:r>
      <w:r w:rsidR="00D9505D" w:rsidRPr="000A6CF5">
        <w:rPr>
          <w:rFonts w:ascii="Times New Roman" w:hAnsi="Times New Roman"/>
          <w:sz w:val="24"/>
          <w:szCs w:val="24"/>
        </w:rPr>
        <w:t>transmission</w:t>
      </w:r>
      <w:r w:rsidRPr="008B7D35">
        <w:rPr>
          <w:rFonts w:ascii="Times New Roman" w:hAnsi="Times New Roman"/>
          <w:sz w:val="24"/>
          <w:szCs w:val="24"/>
        </w:rPr>
        <w:t xml:space="preserve"> of the citation to request a full due process hearing on the complaint. </w:t>
      </w:r>
    </w:p>
    <w:p w14:paraId="1DDF3BEF" w14:textId="77777777" w:rsidR="00DA107A" w:rsidRPr="008B7D35" w:rsidRDefault="00DA107A" w:rsidP="00DA107A">
      <w:pPr>
        <w:pStyle w:val="ListParagraph"/>
        <w:spacing w:after="0" w:line="240" w:lineRule="auto"/>
        <w:rPr>
          <w:rFonts w:ascii="Times New Roman" w:hAnsi="Times New Roman"/>
          <w:sz w:val="24"/>
          <w:szCs w:val="24"/>
        </w:rPr>
      </w:pPr>
    </w:p>
    <w:p w14:paraId="180B0031" w14:textId="77777777" w:rsidR="00DA107A" w:rsidRPr="008B7D35" w:rsidRDefault="00DA107A" w:rsidP="00DA107A">
      <w:pPr>
        <w:pStyle w:val="ListParagraph"/>
        <w:numPr>
          <w:ilvl w:val="0"/>
          <w:numId w:val="24"/>
        </w:numPr>
        <w:spacing w:after="0" w:line="240" w:lineRule="auto"/>
        <w:rPr>
          <w:rFonts w:ascii="Times New Roman" w:hAnsi="Times New Roman"/>
          <w:sz w:val="24"/>
          <w:szCs w:val="24"/>
        </w:rPr>
      </w:pPr>
      <w:r w:rsidRPr="008B7D35">
        <w:rPr>
          <w:rFonts w:ascii="Times New Roman" w:hAnsi="Times New Roman"/>
          <w:sz w:val="24"/>
          <w:szCs w:val="24"/>
        </w:rPr>
        <w:t xml:space="preserve">If the respondent does not reply within ten (10) days of </w:t>
      </w:r>
      <w:r w:rsidR="00D9505D" w:rsidRPr="000A6CF5">
        <w:rPr>
          <w:rFonts w:ascii="Times New Roman" w:hAnsi="Times New Roman"/>
          <w:sz w:val="24"/>
          <w:szCs w:val="24"/>
        </w:rPr>
        <w:t>transmission of</w:t>
      </w:r>
      <w:r w:rsidRPr="008B7D35">
        <w:rPr>
          <w:rFonts w:ascii="Times New Roman" w:hAnsi="Times New Roman"/>
          <w:sz w:val="24"/>
          <w:szCs w:val="24"/>
        </w:rPr>
        <w:t xml:space="preserve"> the citation, a notice shall be </w:t>
      </w:r>
      <w:r w:rsidR="00D9505D" w:rsidRPr="000A6CF5">
        <w:rPr>
          <w:rFonts w:ascii="Times New Roman" w:hAnsi="Times New Roman"/>
          <w:sz w:val="24"/>
          <w:szCs w:val="24"/>
        </w:rPr>
        <w:t xml:space="preserve">transmitted </w:t>
      </w:r>
      <w:r w:rsidRPr="008B7D35">
        <w:rPr>
          <w:rFonts w:ascii="Times New Roman" w:hAnsi="Times New Roman"/>
          <w:sz w:val="24"/>
          <w:szCs w:val="24"/>
        </w:rPr>
        <w:t>to the respondent reminding the respondent of the deadline for requesting a hearing.</w:t>
      </w:r>
    </w:p>
    <w:p w14:paraId="79130C66" w14:textId="77777777" w:rsidR="00DA107A" w:rsidRPr="008B7D35" w:rsidRDefault="00DA107A" w:rsidP="00DA107A">
      <w:pPr>
        <w:pStyle w:val="ListParagraph"/>
        <w:spacing w:after="0" w:line="240" w:lineRule="auto"/>
        <w:ind w:left="1080"/>
        <w:rPr>
          <w:rFonts w:ascii="Times New Roman" w:hAnsi="Times New Roman"/>
          <w:sz w:val="24"/>
          <w:szCs w:val="24"/>
        </w:rPr>
      </w:pPr>
    </w:p>
    <w:p w14:paraId="6ACF9286" w14:textId="77777777" w:rsidR="00DA107A" w:rsidRPr="008B7D35" w:rsidRDefault="00DA107A" w:rsidP="00DA107A">
      <w:pPr>
        <w:pStyle w:val="ListParagraph"/>
        <w:numPr>
          <w:ilvl w:val="0"/>
          <w:numId w:val="24"/>
        </w:numPr>
        <w:spacing w:after="0" w:line="240" w:lineRule="auto"/>
        <w:rPr>
          <w:rFonts w:ascii="Times New Roman" w:hAnsi="Times New Roman"/>
          <w:sz w:val="24"/>
          <w:szCs w:val="24"/>
        </w:rPr>
      </w:pPr>
      <w:r w:rsidRPr="008B7D35">
        <w:rPr>
          <w:rFonts w:ascii="Times New Roman" w:hAnsi="Times New Roman"/>
          <w:sz w:val="24"/>
          <w:szCs w:val="24"/>
        </w:rPr>
        <w:t xml:space="preserve">If the respondent accepts the citation, or if the respondent does not request a hearing within twenty (20) days of </w:t>
      </w:r>
      <w:r w:rsidR="00E078C4" w:rsidRPr="000A6CF5">
        <w:rPr>
          <w:rFonts w:ascii="Times New Roman" w:hAnsi="Times New Roman"/>
          <w:sz w:val="24"/>
          <w:szCs w:val="24"/>
        </w:rPr>
        <w:t xml:space="preserve">transmission </w:t>
      </w:r>
      <w:r w:rsidRPr="008B7D35">
        <w:rPr>
          <w:rFonts w:ascii="Times New Roman" w:hAnsi="Times New Roman"/>
          <w:sz w:val="24"/>
          <w:szCs w:val="24"/>
        </w:rPr>
        <w:t>of the citation</w:t>
      </w:r>
      <w:r>
        <w:rPr>
          <w:rFonts w:ascii="Times New Roman" w:hAnsi="Times New Roman"/>
          <w:sz w:val="24"/>
          <w:szCs w:val="24"/>
        </w:rPr>
        <w:t xml:space="preserve">, this </w:t>
      </w:r>
      <w:r w:rsidRPr="008B7D35">
        <w:rPr>
          <w:rFonts w:ascii="Times New Roman" w:hAnsi="Times New Roman"/>
          <w:sz w:val="24"/>
          <w:szCs w:val="24"/>
        </w:rPr>
        <w:t xml:space="preserve">shall be deemed to be a </w:t>
      </w:r>
      <w:r w:rsidRPr="008B7D35">
        <w:rPr>
          <w:rFonts w:ascii="Times New Roman" w:hAnsi="Times New Roman"/>
          <w:sz w:val="24"/>
          <w:szCs w:val="24"/>
        </w:rPr>
        <w:lastRenderedPageBreak/>
        <w:t>final resolution of the complaint, which shall not be appealable or subject to any further review.</w:t>
      </w:r>
    </w:p>
    <w:p w14:paraId="3835070E" w14:textId="77777777" w:rsidR="00DA107A" w:rsidRPr="008B7D35" w:rsidRDefault="00DA107A" w:rsidP="00DA107A">
      <w:pPr>
        <w:pStyle w:val="ListParagraph"/>
        <w:spacing w:after="0" w:line="240" w:lineRule="auto"/>
        <w:ind w:left="1080"/>
        <w:rPr>
          <w:rFonts w:ascii="Times New Roman" w:hAnsi="Times New Roman"/>
          <w:sz w:val="24"/>
          <w:szCs w:val="24"/>
        </w:rPr>
      </w:pPr>
    </w:p>
    <w:p w14:paraId="655C7EF9" w14:textId="77777777" w:rsidR="00DA107A" w:rsidRPr="008B7D35" w:rsidRDefault="00DA107A" w:rsidP="00DA107A">
      <w:pPr>
        <w:pStyle w:val="ListParagraph"/>
        <w:numPr>
          <w:ilvl w:val="0"/>
          <w:numId w:val="24"/>
        </w:numPr>
        <w:spacing w:after="0" w:line="240" w:lineRule="auto"/>
        <w:rPr>
          <w:rFonts w:ascii="Times New Roman" w:hAnsi="Times New Roman"/>
          <w:sz w:val="24"/>
          <w:szCs w:val="24"/>
        </w:rPr>
      </w:pPr>
      <w:r w:rsidRPr="008B7D35">
        <w:rPr>
          <w:rFonts w:ascii="Times New Roman" w:hAnsi="Times New Roman"/>
          <w:sz w:val="24"/>
          <w:szCs w:val="24"/>
        </w:rPr>
        <w:t xml:space="preserve">If the respondent accepts the citation, or if the respondent does not request a hearing within twenty (20) days of </w:t>
      </w:r>
      <w:r w:rsidR="00E078C4" w:rsidRPr="000A6CF5">
        <w:rPr>
          <w:rFonts w:ascii="Times New Roman" w:hAnsi="Times New Roman"/>
          <w:sz w:val="24"/>
          <w:szCs w:val="24"/>
        </w:rPr>
        <w:t>transmission</w:t>
      </w:r>
      <w:r w:rsidR="00E078C4">
        <w:rPr>
          <w:rFonts w:ascii="Times New Roman" w:hAnsi="Times New Roman"/>
          <w:sz w:val="24"/>
          <w:szCs w:val="24"/>
        </w:rPr>
        <w:t xml:space="preserve"> </w:t>
      </w:r>
      <w:r w:rsidRPr="00E078C4">
        <w:rPr>
          <w:rFonts w:ascii="Times New Roman" w:hAnsi="Times New Roman"/>
          <w:sz w:val="24"/>
          <w:szCs w:val="24"/>
        </w:rPr>
        <w:t>of</w:t>
      </w:r>
      <w:r w:rsidRPr="008B7D35">
        <w:rPr>
          <w:rFonts w:ascii="Times New Roman" w:hAnsi="Times New Roman"/>
          <w:sz w:val="24"/>
          <w:szCs w:val="24"/>
        </w:rPr>
        <w:t xml:space="preserve"> the citation, payment must be </w:t>
      </w:r>
      <w:r w:rsidRPr="00E078C4">
        <w:rPr>
          <w:rFonts w:ascii="Times New Roman" w:hAnsi="Times New Roman"/>
          <w:sz w:val="24"/>
          <w:szCs w:val="24"/>
        </w:rPr>
        <w:t xml:space="preserve">received </w:t>
      </w:r>
      <w:r w:rsidRPr="008B7D35">
        <w:rPr>
          <w:rFonts w:ascii="Times New Roman" w:hAnsi="Times New Roman"/>
          <w:sz w:val="24"/>
          <w:szCs w:val="24"/>
        </w:rPr>
        <w:t xml:space="preserve">by the association no later than _____ days </w:t>
      </w:r>
      <w:r>
        <w:rPr>
          <w:rFonts w:ascii="Times New Roman" w:hAnsi="Times New Roman"/>
          <w:sz w:val="24"/>
          <w:szCs w:val="24"/>
        </w:rPr>
        <w:t xml:space="preserve">(to be established by the association, but in any instance not more than five [5] days) </w:t>
      </w:r>
      <w:r w:rsidRPr="008B7D35">
        <w:rPr>
          <w:rFonts w:ascii="Times New Roman" w:hAnsi="Times New Roman"/>
          <w:sz w:val="24"/>
          <w:szCs w:val="24"/>
        </w:rPr>
        <w:t>after the date of acceptance or time period to request a hearing has elapsed.</w:t>
      </w:r>
    </w:p>
    <w:p w14:paraId="287FFCF6" w14:textId="77777777" w:rsidR="00DA107A" w:rsidRPr="008B7D35" w:rsidRDefault="00DA107A" w:rsidP="00DA107A">
      <w:pPr>
        <w:pStyle w:val="ListParagraph"/>
        <w:rPr>
          <w:rFonts w:ascii="Times New Roman" w:hAnsi="Times New Roman"/>
          <w:sz w:val="24"/>
          <w:szCs w:val="24"/>
        </w:rPr>
      </w:pPr>
    </w:p>
    <w:p w14:paraId="51182F6D" w14:textId="77777777" w:rsidR="00DA107A" w:rsidRDefault="00DA107A" w:rsidP="00DA107A">
      <w:pPr>
        <w:pStyle w:val="ListParagraph"/>
        <w:numPr>
          <w:ilvl w:val="1"/>
          <w:numId w:val="24"/>
        </w:numPr>
        <w:spacing w:after="0" w:line="240" w:lineRule="auto"/>
        <w:rPr>
          <w:rFonts w:ascii="Times New Roman" w:hAnsi="Times New Roman"/>
          <w:sz w:val="24"/>
          <w:szCs w:val="24"/>
        </w:rPr>
      </w:pPr>
      <w:r w:rsidRPr="008B7D35">
        <w:rPr>
          <w:rFonts w:ascii="Times New Roman" w:hAnsi="Times New Roman"/>
          <w:sz w:val="24"/>
          <w:szCs w:val="24"/>
        </w:rPr>
        <w:t>The case will be deemed to be closed upon receipt of payment, and notice will be provided to the complainant that a citation has been issued and paid.</w:t>
      </w:r>
    </w:p>
    <w:p w14:paraId="27E03C12" w14:textId="77777777" w:rsidR="00DA107A" w:rsidRPr="008B7D35" w:rsidRDefault="00DA107A" w:rsidP="00DA107A">
      <w:pPr>
        <w:pStyle w:val="ListParagraph"/>
        <w:spacing w:after="0" w:line="240" w:lineRule="auto"/>
        <w:ind w:left="1800"/>
        <w:rPr>
          <w:rFonts w:ascii="Times New Roman" w:hAnsi="Times New Roman"/>
          <w:sz w:val="24"/>
          <w:szCs w:val="24"/>
        </w:rPr>
      </w:pPr>
    </w:p>
    <w:p w14:paraId="606D3F5A" w14:textId="77777777" w:rsidR="00DA107A" w:rsidRPr="008B7D35" w:rsidRDefault="00DA107A" w:rsidP="00DA107A">
      <w:pPr>
        <w:pStyle w:val="ListParagraph"/>
        <w:numPr>
          <w:ilvl w:val="1"/>
          <w:numId w:val="24"/>
        </w:numPr>
        <w:spacing w:after="0" w:line="240" w:lineRule="auto"/>
        <w:rPr>
          <w:rFonts w:ascii="Times New Roman" w:hAnsi="Times New Roman"/>
          <w:sz w:val="24"/>
          <w:szCs w:val="24"/>
        </w:rPr>
      </w:pPr>
      <w:r w:rsidRPr="008B7D35">
        <w:rPr>
          <w:rFonts w:ascii="Times New Roman" w:hAnsi="Times New Roman"/>
          <w:sz w:val="24"/>
          <w:szCs w:val="24"/>
        </w:rPr>
        <w:t>Failure to pay the citation amount within ____ days</w:t>
      </w:r>
      <w:r>
        <w:rPr>
          <w:rFonts w:ascii="Times New Roman" w:hAnsi="Times New Roman"/>
          <w:sz w:val="24"/>
          <w:szCs w:val="24"/>
        </w:rPr>
        <w:t xml:space="preserve"> (to be established by the association, but in any instance not more than five (5) days)</w:t>
      </w:r>
      <w:r w:rsidRPr="008B7D35">
        <w:rPr>
          <w:rFonts w:ascii="Times New Roman" w:hAnsi="Times New Roman"/>
          <w:sz w:val="24"/>
          <w:szCs w:val="24"/>
        </w:rPr>
        <w:t xml:space="preserve"> after the date of acceptance or after the </w:t>
      </w:r>
      <w:proofErr w:type="gramStart"/>
      <w:r w:rsidRPr="008B7D35">
        <w:rPr>
          <w:rFonts w:ascii="Times New Roman" w:hAnsi="Times New Roman"/>
          <w:sz w:val="24"/>
          <w:szCs w:val="24"/>
        </w:rPr>
        <w:t>time period</w:t>
      </w:r>
      <w:proofErr w:type="gramEnd"/>
      <w:r w:rsidRPr="008B7D35">
        <w:rPr>
          <w:rFonts w:ascii="Times New Roman" w:hAnsi="Times New Roman"/>
          <w:sz w:val="24"/>
          <w:szCs w:val="24"/>
        </w:rPr>
        <w:t xml:space="preserve"> to request a hearing has expired will result in the automatic suspension of membership until the citation has been paid. </w:t>
      </w:r>
    </w:p>
    <w:p w14:paraId="5A243E1B" w14:textId="77777777" w:rsidR="00DA107A" w:rsidRPr="008B7D35" w:rsidRDefault="00DA107A" w:rsidP="00DA107A">
      <w:pPr>
        <w:pStyle w:val="ListParagraph"/>
        <w:spacing w:after="0" w:line="240" w:lineRule="auto"/>
        <w:rPr>
          <w:rFonts w:ascii="Times New Roman" w:hAnsi="Times New Roman"/>
          <w:sz w:val="24"/>
          <w:szCs w:val="24"/>
        </w:rPr>
      </w:pPr>
    </w:p>
    <w:p w14:paraId="3B6F668E" w14:textId="77777777" w:rsidR="00DA107A" w:rsidRDefault="00DA107A" w:rsidP="00DA107A">
      <w:pPr>
        <w:pStyle w:val="ListParagraph"/>
        <w:numPr>
          <w:ilvl w:val="0"/>
          <w:numId w:val="24"/>
        </w:numPr>
        <w:spacing w:after="0" w:line="240" w:lineRule="auto"/>
        <w:rPr>
          <w:rFonts w:ascii="Times New Roman" w:hAnsi="Times New Roman"/>
          <w:sz w:val="24"/>
          <w:szCs w:val="24"/>
        </w:rPr>
      </w:pPr>
      <w:r w:rsidRPr="008B7D35">
        <w:rPr>
          <w:rFonts w:ascii="Times New Roman" w:hAnsi="Times New Roman"/>
          <w:sz w:val="24"/>
          <w:szCs w:val="24"/>
        </w:rPr>
        <w:t xml:space="preserve">If the respondent requests a hearing within the time specified, the complaint shall be referred for hearing. </w:t>
      </w:r>
      <w:r>
        <w:rPr>
          <w:rFonts w:ascii="Times New Roman" w:hAnsi="Times New Roman"/>
          <w:sz w:val="24"/>
          <w:szCs w:val="24"/>
        </w:rPr>
        <w:t xml:space="preserve"> </w:t>
      </w:r>
      <w:r w:rsidRPr="008B7D35">
        <w:rPr>
          <w:rFonts w:ascii="Times New Roman" w:hAnsi="Times New Roman"/>
          <w:sz w:val="24"/>
          <w:szCs w:val="24"/>
        </w:rPr>
        <w:t xml:space="preserve">The complainant who initially filed the complaint </w:t>
      </w:r>
      <w:r>
        <w:rPr>
          <w:rFonts w:ascii="Times New Roman" w:hAnsi="Times New Roman"/>
          <w:sz w:val="24"/>
          <w:szCs w:val="24"/>
        </w:rPr>
        <w:t>shall be given the option to</w:t>
      </w:r>
      <w:r w:rsidRPr="008B7D35">
        <w:rPr>
          <w:rFonts w:ascii="Times New Roman" w:hAnsi="Times New Roman"/>
          <w:sz w:val="24"/>
          <w:szCs w:val="24"/>
        </w:rPr>
        <w:t xml:space="preserve"> proceed as the complainant for the purposes of the </w:t>
      </w:r>
      <w:proofErr w:type="gramStart"/>
      <w:r w:rsidRPr="008B7D35">
        <w:rPr>
          <w:rFonts w:ascii="Times New Roman" w:hAnsi="Times New Roman"/>
          <w:sz w:val="24"/>
          <w:szCs w:val="24"/>
        </w:rPr>
        <w:t>hearing, and</w:t>
      </w:r>
      <w:proofErr w:type="gramEnd"/>
      <w:r w:rsidRPr="008B7D35">
        <w:rPr>
          <w:rFonts w:ascii="Times New Roman" w:hAnsi="Times New Roman"/>
          <w:sz w:val="24"/>
          <w:szCs w:val="24"/>
        </w:rPr>
        <w:t xml:space="preserve"> will be afforded all due process rights provided for in the </w:t>
      </w:r>
      <w:r w:rsidRPr="008B7D35">
        <w:rPr>
          <w:rFonts w:ascii="Times New Roman" w:hAnsi="Times New Roman"/>
          <w:i/>
          <w:sz w:val="24"/>
          <w:szCs w:val="24"/>
        </w:rPr>
        <w:t>Code of Ethics and Arbitration Manual.</w:t>
      </w:r>
      <w:r>
        <w:rPr>
          <w:rFonts w:ascii="Times New Roman" w:hAnsi="Times New Roman"/>
          <w:sz w:val="24"/>
          <w:szCs w:val="24"/>
        </w:rPr>
        <w:t xml:space="preserve">  Should the complainant be a member of the public who refuses or is unable to participate in the hearing, or should the complainant be a REALTOR</w:t>
      </w:r>
      <w:r w:rsidRPr="001B3F03">
        <w:rPr>
          <w:rFonts w:ascii="Times New Roman" w:hAnsi="Times New Roman"/>
          <w:sz w:val="24"/>
          <w:szCs w:val="24"/>
          <w:vertAlign w:val="superscript"/>
        </w:rPr>
        <w:t>®</w:t>
      </w:r>
      <w:r>
        <w:rPr>
          <w:rFonts w:ascii="Times New Roman" w:hAnsi="Times New Roman"/>
          <w:sz w:val="24"/>
          <w:szCs w:val="24"/>
        </w:rPr>
        <w:t xml:space="preserve"> member who refuses or is unable to participate in the hearing, the provisions of Section 21(f)(3) in the NAR </w:t>
      </w:r>
      <w:r>
        <w:rPr>
          <w:rFonts w:ascii="Times New Roman" w:hAnsi="Times New Roman"/>
          <w:i/>
          <w:sz w:val="24"/>
          <w:szCs w:val="24"/>
        </w:rPr>
        <w:t xml:space="preserve">Code of Ethics and Arbitration Manual </w:t>
      </w:r>
      <w:r>
        <w:rPr>
          <w:rFonts w:ascii="Times New Roman" w:hAnsi="Times New Roman"/>
          <w:sz w:val="24"/>
          <w:szCs w:val="24"/>
        </w:rPr>
        <w:t xml:space="preserve">shall apply.  </w:t>
      </w:r>
    </w:p>
    <w:p w14:paraId="3BBE19C5" w14:textId="77777777" w:rsidR="00AE113E" w:rsidRDefault="00AE113E" w:rsidP="00AE113E">
      <w:pPr>
        <w:pStyle w:val="ListParagraph"/>
        <w:ind w:left="1800"/>
        <w:rPr>
          <w:rFonts w:ascii="Times New Roman" w:hAnsi="Times New Roman"/>
          <w:i/>
          <w:sz w:val="24"/>
          <w:szCs w:val="24"/>
        </w:rPr>
      </w:pPr>
    </w:p>
    <w:p w14:paraId="06EF7FA6" w14:textId="77777777" w:rsidR="00AE113E" w:rsidRPr="000A6CF5" w:rsidRDefault="00AE113E" w:rsidP="00AE113E">
      <w:pPr>
        <w:pStyle w:val="ListParagraph"/>
        <w:numPr>
          <w:ilvl w:val="0"/>
          <w:numId w:val="24"/>
        </w:numPr>
        <w:rPr>
          <w:rFonts w:ascii="Times New Roman" w:hAnsi="Times New Roman"/>
          <w:sz w:val="24"/>
          <w:szCs w:val="24"/>
        </w:rPr>
      </w:pPr>
      <w:r w:rsidRPr="000A6CF5">
        <w:rPr>
          <w:rFonts w:ascii="Times New Roman" w:hAnsi="Times New Roman"/>
          <w:sz w:val="24"/>
          <w:szCs w:val="24"/>
        </w:rPr>
        <w:t>Associations should determine in advance what information will be provided to complainants prior to citations being issued and paid, or respondents requesting a hearing, including the point at which complainants will be notified of the status of their complaint, and what information will be provided to complainants about citations issued, including the amount of any fine. These procedures should be established in advance and followed consistently.</w:t>
      </w:r>
    </w:p>
    <w:p w14:paraId="2D00B80E" w14:textId="77777777" w:rsidR="00AE113E" w:rsidRDefault="00AE113E" w:rsidP="00AE113E">
      <w:pPr>
        <w:pStyle w:val="ListParagraph"/>
        <w:spacing w:after="0" w:line="240" w:lineRule="auto"/>
        <w:ind w:left="1080"/>
        <w:rPr>
          <w:rFonts w:ascii="Times New Roman" w:hAnsi="Times New Roman"/>
          <w:sz w:val="24"/>
          <w:szCs w:val="24"/>
        </w:rPr>
      </w:pPr>
    </w:p>
    <w:p w14:paraId="0FA1C622" w14:textId="77777777" w:rsidR="00DA107A" w:rsidRPr="008B7D35" w:rsidRDefault="00DA107A" w:rsidP="00DA107A">
      <w:pPr>
        <w:pStyle w:val="ListParagraph"/>
        <w:spacing w:after="0" w:line="240" w:lineRule="auto"/>
        <w:ind w:left="0"/>
        <w:rPr>
          <w:rFonts w:ascii="Times New Roman" w:hAnsi="Times New Roman"/>
          <w:sz w:val="24"/>
          <w:szCs w:val="24"/>
        </w:rPr>
      </w:pPr>
    </w:p>
    <w:p w14:paraId="4C3AC00C" w14:textId="77777777" w:rsidR="00DA107A" w:rsidRDefault="00DA107A" w:rsidP="00DA107A">
      <w:pPr>
        <w:rPr>
          <w:szCs w:val="24"/>
        </w:rPr>
      </w:pPr>
      <w:r w:rsidRPr="008B7D35">
        <w:rPr>
          <w:b/>
          <w:szCs w:val="24"/>
        </w:rPr>
        <w:t>Limitations</w:t>
      </w:r>
    </w:p>
    <w:p w14:paraId="04E660F5" w14:textId="77777777" w:rsidR="00DA107A" w:rsidRPr="005A32CA" w:rsidRDefault="00DA107A" w:rsidP="00DA107A">
      <w:pPr>
        <w:rPr>
          <w:szCs w:val="24"/>
        </w:rPr>
      </w:pPr>
    </w:p>
    <w:p w14:paraId="15224D41" w14:textId="77777777" w:rsidR="00DA107A" w:rsidRPr="008B7D35" w:rsidRDefault="00DA107A" w:rsidP="00DA107A">
      <w:pPr>
        <w:pStyle w:val="ListParagraph"/>
        <w:numPr>
          <w:ilvl w:val="0"/>
          <w:numId w:val="26"/>
        </w:numPr>
        <w:spacing w:after="0" w:line="240" w:lineRule="auto"/>
        <w:rPr>
          <w:rFonts w:ascii="Times New Roman" w:hAnsi="Times New Roman"/>
          <w:sz w:val="24"/>
          <w:szCs w:val="24"/>
        </w:rPr>
      </w:pPr>
      <w:r w:rsidRPr="008B7D35">
        <w:rPr>
          <w:rFonts w:ascii="Times New Roman" w:hAnsi="Times New Roman"/>
          <w:sz w:val="24"/>
          <w:szCs w:val="24"/>
        </w:rPr>
        <w:t>Any REALTOR</w:t>
      </w:r>
      <w:r w:rsidRPr="005A32CA">
        <w:rPr>
          <w:rFonts w:ascii="Times New Roman" w:hAnsi="Times New Roman"/>
          <w:sz w:val="24"/>
          <w:szCs w:val="24"/>
          <w:vertAlign w:val="superscript"/>
        </w:rPr>
        <w:t>®</w:t>
      </w:r>
      <w:r w:rsidRPr="008B7D35">
        <w:rPr>
          <w:rFonts w:ascii="Times New Roman" w:hAnsi="Times New Roman"/>
          <w:sz w:val="24"/>
          <w:szCs w:val="24"/>
        </w:rPr>
        <w:t xml:space="preserve"> is limited in the number and type of citations that he/she may receive, according to the following rules:</w:t>
      </w:r>
    </w:p>
    <w:p w14:paraId="5FFA7D92" w14:textId="77777777" w:rsidR="00DA107A" w:rsidRPr="008B7D35" w:rsidRDefault="00DA107A" w:rsidP="00DA107A">
      <w:pPr>
        <w:pStyle w:val="ListParagraph"/>
        <w:spacing w:after="0" w:line="240" w:lineRule="auto"/>
        <w:rPr>
          <w:rFonts w:ascii="Times New Roman" w:hAnsi="Times New Roman"/>
          <w:sz w:val="24"/>
          <w:szCs w:val="24"/>
        </w:rPr>
      </w:pPr>
    </w:p>
    <w:p w14:paraId="27B02468" w14:textId="77777777" w:rsidR="00DA107A" w:rsidRPr="008B7D35" w:rsidRDefault="00DA107A" w:rsidP="00DA107A">
      <w:pPr>
        <w:pStyle w:val="ListParagraph"/>
        <w:numPr>
          <w:ilvl w:val="0"/>
          <w:numId w:val="25"/>
        </w:numPr>
        <w:spacing w:after="0" w:line="240" w:lineRule="auto"/>
        <w:rPr>
          <w:rFonts w:ascii="Times New Roman" w:hAnsi="Times New Roman"/>
          <w:sz w:val="24"/>
          <w:szCs w:val="24"/>
        </w:rPr>
      </w:pPr>
      <w:r w:rsidRPr="008B7D35">
        <w:rPr>
          <w:rFonts w:ascii="Times New Roman" w:hAnsi="Times New Roman"/>
          <w:sz w:val="24"/>
          <w:szCs w:val="24"/>
        </w:rPr>
        <w:t xml:space="preserve">No more than two (2) citations </w:t>
      </w:r>
      <w:r>
        <w:rPr>
          <w:rFonts w:ascii="Times New Roman" w:hAnsi="Times New Roman"/>
          <w:sz w:val="24"/>
          <w:szCs w:val="24"/>
        </w:rPr>
        <w:t xml:space="preserve">will be issued to a member </w:t>
      </w:r>
      <w:r w:rsidRPr="008B7D35">
        <w:rPr>
          <w:rFonts w:ascii="Times New Roman" w:hAnsi="Times New Roman"/>
          <w:sz w:val="24"/>
          <w:szCs w:val="24"/>
        </w:rPr>
        <w:t>within a consecutive twelve (12) month period, starting on the dat</w:t>
      </w:r>
      <w:r>
        <w:rPr>
          <w:rFonts w:ascii="Times New Roman" w:hAnsi="Times New Roman"/>
          <w:sz w:val="24"/>
          <w:szCs w:val="24"/>
        </w:rPr>
        <w:t>e the first complaint was filed, at the same association.</w:t>
      </w:r>
    </w:p>
    <w:p w14:paraId="2B715F82" w14:textId="77777777" w:rsidR="00DA107A" w:rsidRPr="008B7D35" w:rsidRDefault="00DA107A" w:rsidP="00DA107A">
      <w:pPr>
        <w:pStyle w:val="ListParagraph"/>
        <w:spacing w:after="0" w:line="240" w:lineRule="auto"/>
        <w:rPr>
          <w:rFonts w:ascii="Times New Roman" w:hAnsi="Times New Roman"/>
          <w:sz w:val="24"/>
          <w:szCs w:val="24"/>
        </w:rPr>
      </w:pPr>
    </w:p>
    <w:p w14:paraId="3769BAC5" w14:textId="77777777" w:rsidR="00DA107A" w:rsidRPr="008B7D35" w:rsidRDefault="00DA107A" w:rsidP="00DA107A">
      <w:pPr>
        <w:pStyle w:val="ListParagraph"/>
        <w:numPr>
          <w:ilvl w:val="0"/>
          <w:numId w:val="25"/>
        </w:numPr>
        <w:spacing w:after="0" w:line="240" w:lineRule="auto"/>
        <w:rPr>
          <w:rFonts w:ascii="Times New Roman" w:hAnsi="Times New Roman"/>
          <w:sz w:val="24"/>
          <w:szCs w:val="24"/>
        </w:rPr>
      </w:pPr>
      <w:r w:rsidRPr="008B7D35">
        <w:rPr>
          <w:rFonts w:ascii="Times New Roman" w:hAnsi="Times New Roman"/>
          <w:sz w:val="24"/>
          <w:szCs w:val="24"/>
        </w:rPr>
        <w:lastRenderedPageBreak/>
        <w:t xml:space="preserve">No more than three (3) citations </w:t>
      </w:r>
      <w:r>
        <w:rPr>
          <w:rFonts w:ascii="Times New Roman" w:hAnsi="Times New Roman"/>
          <w:sz w:val="24"/>
          <w:szCs w:val="24"/>
        </w:rPr>
        <w:t xml:space="preserve">will be issued to a member </w:t>
      </w:r>
      <w:r w:rsidRPr="008B7D35">
        <w:rPr>
          <w:rFonts w:ascii="Times New Roman" w:hAnsi="Times New Roman"/>
          <w:sz w:val="24"/>
          <w:szCs w:val="24"/>
        </w:rPr>
        <w:t>within a consecutive thirty-six (36) month period, starting on the dat</w:t>
      </w:r>
      <w:r>
        <w:rPr>
          <w:rFonts w:ascii="Times New Roman" w:hAnsi="Times New Roman"/>
          <w:sz w:val="24"/>
          <w:szCs w:val="24"/>
        </w:rPr>
        <w:t>e the first complaint was filed, at the same association.</w:t>
      </w:r>
    </w:p>
    <w:p w14:paraId="6E2EE869" w14:textId="77777777" w:rsidR="00DA107A" w:rsidRPr="008B7D35" w:rsidRDefault="00DA107A" w:rsidP="00DA107A">
      <w:pPr>
        <w:pStyle w:val="ListParagraph"/>
        <w:spacing w:after="0" w:line="240" w:lineRule="auto"/>
        <w:rPr>
          <w:rFonts w:ascii="Times New Roman" w:hAnsi="Times New Roman"/>
          <w:sz w:val="24"/>
          <w:szCs w:val="24"/>
        </w:rPr>
      </w:pPr>
    </w:p>
    <w:p w14:paraId="189703FA" w14:textId="77777777" w:rsidR="00DA107A" w:rsidRDefault="00DA107A" w:rsidP="00DA107A">
      <w:pPr>
        <w:pStyle w:val="ListParagraph"/>
        <w:numPr>
          <w:ilvl w:val="0"/>
          <w:numId w:val="25"/>
        </w:numPr>
        <w:spacing w:after="0" w:line="240" w:lineRule="auto"/>
        <w:rPr>
          <w:rFonts w:ascii="Times New Roman" w:hAnsi="Times New Roman"/>
          <w:sz w:val="24"/>
          <w:szCs w:val="24"/>
        </w:rPr>
      </w:pPr>
      <w:r w:rsidRPr="008B7D35">
        <w:rPr>
          <w:rFonts w:ascii="Times New Roman" w:hAnsi="Times New Roman"/>
          <w:sz w:val="24"/>
          <w:szCs w:val="24"/>
        </w:rPr>
        <w:t>No additional citations are permitted where the cumulative fine for the citation</w:t>
      </w:r>
      <w:r>
        <w:rPr>
          <w:rFonts w:ascii="Times New Roman" w:hAnsi="Times New Roman"/>
          <w:sz w:val="24"/>
          <w:szCs w:val="24"/>
        </w:rPr>
        <w:t xml:space="preserve">s issued </w:t>
      </w:r>
      <w:r w:rsidRPr="008B7D35">
        <w:rPr>
          <w:rFonts w:ascii="Times New Roman" w:hAnsi="Times New Roman"/>
          <w:sz w:val="24"/>
          <w:szCs w:val="24"/>
        </w:rPr>
        <w:t>would be more than $______ (not to exceed $5,000) in any three (3) year period</w:t>
      </w:r>
      <w:r>
        <w:rPr>
          <w:rFonts w:ascii="Times New Roman" w:hAnsi="Times New Roman"/>
          <w:sz w:val="24"/>
          <w:szCs w:val="24"/>
        </w:rPr>
        <w:t xml:space="preserve"> at the same association.</w:t>
      </w:r>
    </w:p>
    <w:p w14:paraId="74803CCC" w14:textId="77777777" w:rsidR="00DA107A" w:rsidRPr="002B2603" w:rsidRDefault="00DA107A" w:rsidP="00DA107A">
      <w:pPr>
        <w:pStyle w:val="ListParagraph"/>
        <w:spacing w:after="0" w:line="240" w:lineRule="auto"/>
        <w:rPr>
          <w:rFonts w:ascii="Times New Roman" w:hAnsi="Times New Roman"/>
          <w:sz w:val="24"/>
          <w:szCs w:val="24"/>
        </w:rPr>
      </w:pPr>
    </w:p>
    <w:p w14:paraId="76A95A0A" w14:textId="77777777" w:rsidR="00DA107A" w:rsidRDefault="00DA107A" w:rsidP="00DA107A">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Associations may, at their discretion, adopt an escalating fine schedule for repeat citations.  If an escalating fine schedule is used, the citation panel may only consider the past citations for the </w:t>
      </w:r>
      <w:proofErr w:type="gramStart"/>
      <w:r>
        <w:rPr>
          <w:rFonts w:ascii="Times New Roman" w:hAnsi="Times New Roman"/>
          <w:sz w:val="24"/>
          <w:szCs w:val="24"/>
        </w:rPr>
        <w:t>particular conduct</w:t>
      </w:r>
      <w:proofErr w:type="gramEnd"/>
      <w:r>
        <w:rPr>
          <w:rFonts w:ascii="Times New Roman" w:hAnsi="Times New Roman"/>
          <w:sz w:val="24"/>
          <w:szCs w:val="24"/>
        </w:rPr>
        <w:t xml:space="preserve"> alleged in the complaint.  </w:t>
      </w:r>
    </w:p>
    <w:p w14:paraId="59F01C41" w14:textId="77777777" w:rsidR="00DA107A" w:rsidRPr="00DC55B5" w:rsidRDefault="00DA107A" w:rsidP="00DA107A">
      <w:pPr>
        <w:pStyle w:val="ListParagraph"/>
        <w:spacing w:after="0" w:line="240" w:lineRule="auto"/>
        <w:ind w:left="0"/>
        <w:rPr>
          <w:rFonts w:ascii="Times New Roman" w:hAnsi="Times New Roman"/>
          <w:sz w:val="24"/>
          <w:szCs w:val="24"/>
        </w:rPr>
      </w:pPr>
    </w:p>
    <w:p w14:paraId="6B78D5BC" w14:textId="77777777" w:rsidR="00DA107A" w:rsidRPr="008B7D35" w:rsidRDefault="00DA107A" w:rsidP="00DA107A">
      <w:pPr>
        <w:pStyle w:val="ListParagraph"/>
        <w:numPr>
          <w:ilvl w:val="0"/>
          <w:numId w:val="26"/>
        </w:numPr>
        <w:spacing w:after="0" w:line="240" w:lineRule="auto"/>
        <w:rPr>
          <w:rFonts w:ascii="Times New Roman" w:hAnsi="Times New Roman"/>
          <w:sz w:val="24"/>
          <w:szCs w:val="24"/>
        </w:rPr>
      </w:pPr>
      <w:r w:rsidRPr="008B7D35">
        <w:rPr>
          <w:rFonts w:ascii="Times New Roman" w:hAnsi="Times New Roman"/>
          <w:sz w:val="24"/>
          <w:szCs w:val="24"/>
        </w:rPr>
        <w:t xml:space="preserve">The fact that a respondent has previously been issued a citation for any violation – </w:t>
      </w:r>
      <w:proofErr w:type="gramStart"/>
      <w:r w:rsidRPr="008B7D35">
        <w:rPr>
          <w:rFonts w:ascii="Times New Roman" w:hAnsi="Times New Roman"/>
          <w:sz w:val="24"/>
          <w:szCs w:val="24"/>
        </w:rPr>
        <w:t>whether or not</w:t>
      </w:r>
      <w:proofErr w:type="gramEnd"/>
      <w:r w:rsidRPr="008B7D35">
        <w:rPr>
          <w:rFonts w:ascii="Times New Roman" w:hAnsi="Times New Roman"/>
          <w:sz w:val="24"/>
          <w:szCs w:val="24"/>
        </w:rPr>
        <w:t xml:space="preserve"> it was paid – shall not be admissible in any ethics or arbitration hearing, including a hearing to consider a complaint where the respondent rejected a citation and requested a hearing.</w:t>
      </w:r>
      <w:r>
        <w:rPr>
          <w:rFonts w:ascii="Times New Roman" w:hAnsi="Times New Roman"/>
          <w:sz w:val="24"/>
          <w:szCs w:val="24"/>
        </w:rPr>
        <w:t xml:space="preserve">  A hearing panel may consider citations previously issued to the respondent for the purpose of determining appropriate discipline as provided in Subsection IV below. </w:t>
      </w:r>
    </w:p>
    <w:p w14:paraId="15AC6B43" w14:textId="77777777" w:rsidR="00DA107A" w:rsidRPr="008B7D35" w:rsidRDefault="00DA107A" w:rsidP="00DA107A">
      <w:pPr>
        <w:pStyle w:val="ListParagraph"/>
        <w:spacing w:after="0" w:line="240" w:lineRule="auto"/>
        <w:rPr>
          <w:rFonts w:ascii="Times New Roman" w:hAnsi="Times New Roman"/>
          <w:sz w:val="24"/>
          <w:szCs w:val="24"/>
        </w:rPr>
      </w:pPr>
    </w:p>
    <w:p w14:paraId="129B946D" w14:textId="77777777" w:rsidR="00DA107A" w:rsidRPr="008B7D35" w:rsidRDefault="00DA107A" w:rsidP="00DA107A">
      <w:pPr>
        <w:pStyle w:val="ListParagraph"/>
        <w:numPr>
          <w:ilvl w:val="0"/>
          <w:numId w:val="26"/>
        </w:numPr>
        <w:spacing w:after="0" w:line="240" w:lineRule="auto"/>
        <w:rPr>
          <w:rFonts w:ascii="Times New Roman" w:hAnsi="Times New Roman"/>
          <w:sz w:val="24"/>
          <w:szCs w:val="24"/>
        </w:rPr>
      </w:pPr>
      <w:r w:rsidRPr="008B7D35">
        <w:rPr>
          <w:rFonts w:ascii="Times New Roman" w:hAnsi="Times New Roman"/>
          <w:sz w:val="24"/>
          <w:szCs w:val="24"/>
        </w:rPr>
        <w:t xml:space="preserve">Citations </w:t>
      </w:r>
      <w:r w:rsidR="004A043C">
        <w:rPr>
          <w:rFonts w:ascii="Times New Roman" w:hAnsi="Times New Roman"/>
          <w:sz w:val="24"/>
          <w:szCs w:val="24"/>
        </w:rPr>
        <w:t>may</w:t>
      </w:r>
      <w:r w:rsidRPr="008B7D35">
        <w:rPr>
          <w:rFonts w:ascii="Times New Roman" w:hAnsi="Times New Roman"/>
          <w:sz w:val="24"/>
          <w:szCs w:val="24"/>
        </w:rPr>
        <w:t xml:space="preserve"> be considered in any publication of violations should such rules be adopted by the association. </w:t>
      </w:r>
    </w:p>
    <w:p w14:paraId="7599DE14" w14:textId="77777777" w:rsidR="00DA107A" w:rsidRPr="008B7D35" w:rsidRDefault="00DA107A" w:rsidP="00DA107A">
      <w:pPr>
        <w:pStyle w:val="ListParagraph"/>
        <w:spacing w:after="0" w:line="240" w:lineRule="auto"/>
        <w:rPr>
          <w:rFonts w:ascii="Times New Roman" w:hAnsi="Times New Roman"/>
          <w:sz w:val="24"/>
          <w:szCs w:val="24"/>
        </w:rPr>
      </w:pPr>
    </w:p>
    <w:p w14:paraId="2AE9A638" w14:textId="77777777" w:rsidR="00DA107A" w:rsidRPr="008B7D35" w:rsidRDefault="00DA107A" w:rsidP="00DA107A">
      <w:pPr>
        <w:pStyle w:val="ListParagraph"/>
        <w:numPr>
          <w:ilvl w:val="0"/>
          <w:numId w:val="26"/>
        </w:numPr>
        <w:spacing w:after="0" w:line="240" w:lineRule="auto"/>
        <w:rPr>
          <w:rFonts w:ascii="Times New Roman" w:hAnsi="Times New Roman"/>
          <w:sz w:val="24"/>
          <w:szCs w:val="24"/>
        </w:rPr>
      </w:pPr>
      <w:r w:rsidRPr="008B7D35">
        <w:rPr>
          <w:rFonts w:ascii="Times New Roman" w:hAnsi="Times New Roman"/>
          <w:sz w:val="24"/>
          <w:szCs w:val="24"/>
        </w:rPr>
        <w:t xml:space="preserve">Where a hearing panel finds a violation of the Code of Ethics after a hearing, it may consider past citations in determining an appropriate sanction only if the citation was issued for the same violation at issue in the hearing. </w:t>
      </w:r>
      <w:r>
        <w:rPr>
          <w:rFonts w:ascii="Times New Roman" w:hAnsi="Times New Roman"/>
          <w:sz w:val="24"/>
          <w:szCs w:val="24"/>
        </w:rPr>
        <w:t xml:space="preserve"> </w:t>
      </w:r>
      <w:r w:rsidRPr="008B7D35">
        <w:rPr>
          <w:rFonts w:ascii="Times New Roman" w:hAnsi="Times New Roman"/>
          <w:sz w:val="24"/>
          <w:szCs w:val="24"/>
        </w:rPr>
        <w:t xml:space="preserve">By way of example, if a citation was issued for failure to disclose a dual or variable rate commission under Standard of Practice 3-4, that citation could not be considered if a hearing panel later found a violation of Article 3 on some other grounds. </w:t>
      </w:r>
      <w:r>
        <w:rPr>
          <w:rFonts w:ascii="Times New Roman" w:hAnsi="Times New Roman"/>
          <w:sz w:val="24"/>
          <w:szCs w:val="24"/>
        </w:rPr>
        <w:t xml:space="preserve"> </w:t>
      </w:r>
      <w:r w:rsidRPr="008B7D35">
        <w:rPr>
          <w:rFonts w:ascii="Times New Roman" w:hAnsi="Times New Roman"/>
          <w:sz w:val="24"/>
          <w:szCs w:val="24"/>
        </w:rPr>
        <w:t>Hearing panels will not be informed of past citations for other violations.</w:t>
      </w:r>
    </w:p>
    <w:p w14:paraId="609A7D0C" w14:textId="77777777" w:rsidR="00DA107A" w:rsidRPr="008B7D35" w:rsidRDefault="00DA107A" w:rsidP="00DA107A">
      <w:pPr>
        <w:pStyle w:val="ListParagraph"/>
        <w:spacing w:after="0" w:line="240" w:lineRule="auto"/>
        <w:rPr>
          <w:rFonts w:ascii="Times New Roman" w:hAnsi="Times New Roman"/>
          <w:sz w:val="24"/>
          <w:szCs w:val="24"/>
        </w:rPr>
      </w:pPr>
    </w:p>
    <w:p w14:paraId="21BC12DF" w14:textId="77777777" w:rsidR="00DA107A" w:rsidRPr="008B7D35" w:rsidRDefault="00DA107A" w:rsidP="00DA107A">
      <w:pPr>
        <w:pStyle w:val="ListParagraph"/>
        <w:numPr>
          <w:ilvl w:val="0"/>
          <w:numId w:val="26"/>
        </w:numPr>
        <w:spacing w:after="0" w:line="240" w:lineRule="auto"/>
        <w:rPr>
          <w:rFonts w:ascii="Times New Roman" w:hAnsi="Times New Roman"/>
          <w:sz w:val="24"/>
          <w:szCs w:val="24"/>
        </w:rPr>
      </w:pPr>
      <w:r w:rsidRPr="008B7D35">
        <w:rPr>
          <w:rFonts w:ascii="Times New Roman" w:hAnsi="Times New Roman"/>
          <w:sz w:val="24"/>
          <w:szCs w:val="24"/>
        </w:rPr>
        <w:t>Association staff will track the number of citations issued, the number of citations paid, and the violations for which citations were issued.</w:t>
      </w:r>
      <w:r>
        <w:rPr>
          <w:rFonts w:ascii="Times New Roman" w:hAnsi="Times New Roman"/>
          <w:sz w:val="24"/>
          <w:szCs w:val="24"/>
        </w:rPr>
        <w:t xml:space="preserve"> </w:t>
      </w:r>
      <w:r w:rsidRPr="008B7D35">
        <w:rPr>
          <w:rFonts w:ascii="Times New Roman" w:hAnsi="Times New Roman"/>
          <w:sz w:val="24"/>
          <w:szCs w:val="24"/>
        </w:rPr>
        <w:t xml:space="preserve"> This information may be provided in the aggregate to the Board of Directors, but will not include details about the complaints, nor identify the complainants or respondents. </w:t>
      </w:r>
    </w:p>
    <w:p w14:paraId="472CC2DD" w14:textId="77777777" w:rsidR="00E6139E" w:rsidRDefault="00E6139E" w:rsidP="00DA107A">
      <w:pPr>
        <w:rPr>
          <w:szCs w:val="24"/>
        </w:rPr>
      </w:pPr>
    </w:p>
    <w:p w14:paraId="1B3C6790" w14:textId="77777777" w:rsidR="00E6139E" w:rsidRPr="000A6CF5" w:rsidRDefault="00E6139E" w:rsidP="00E6139E">
      <w:pPr>
        <w:numPr>
          <w:ilvl w:val="0"/>
          <w:numId w:val="26"/>
        </w:numPr>
      </w:pPr>
      <w:r w:rsidRPr="000A6CF5">
        <w:t>The allegations, discussions and decisions made in the citation process are confidential and shall not be reported or published by the board, any member of a tribunal, or any party under any circumstances except those established in Limitations, Section</w:t>
      </w:r>
      <w:r w:rsidR="00392902">
        <w:t>s III and</w:t>
      </w:r>
      <w:r w:rsidRPr="000A6CF5">
        <w:t xml:space="preserve"> V of this policy and the </w:t>
      </w:r>
      <w:r w:rsidRPr="000A6CF5">
        <w:rPr>
          <w:i/>
        </w:rPr>
        <w:t>Code of Ethics and Arbitration Manual</w:t>
      </w:r>
      <w:r w:rsidRPr="000A6CF5">
        <w:t xml:space="preserve"> of the National Association as from time to time amended.</w:t>
      </w:r>
    </w:p>
    <w:p w14:paraId="775DB987" w14:textId="77777777" w:rsidR="00E6139E" w:rsidRDefault="00E6139E" w:rsidP="00DA107A">
      <w:pPr>
        <w:rPr>
          <w:szCs w:val="24"/>
        </w:rPr>
        <w:sectPr w:rsidR="00E6139E" w:rsidSect="00BA2C3C">
          <w:headerReference w:type="default" r:id="rId11"/>
          <w:footerReference w:type="default" r:id="rId12"/>
          <w:pgSz w:w="12240" w:h="15840"/>
          <w:pgMar w:top="1440" w:right="1440" w:bottom="1440" w:left="1440" w:header="720" w:footer="720" w:gutter="0"/>
          <w:pgNumType w:start="2"/>
          <w:cols w:space="720"/>
          <w:docGrid w:linePitch="360"/>
        </w:sectPr>
      </w:pPr>
    </w:p>
    <w:p w14:paraId="61A3756A" w14:textId="77777777" w:rsidR="00DA107A" w:rsidRPr="0002074A" w:rsidRDefault="00DA107A" w:rsidP="00DA107A">
      <w:pPr>
        <w:jc w:val="center"/>
        <w:rPr>
          <w:b/>
          <w:szCs w:val="24"/>
        </w:rPr>
      </w:pPr>
      <w:r w:rsidRPr="0002074A">
        <w:rPr>
          <w:b/>
          <w:szCs w:val="24"/>
        </w:rPr>
        <w:lastRenderedPageBreak/>
        <w:t>Model Citation Schedule of Fines</w:t>
      </w:r>
    </w:p>
    <w:p w14:paraId="56DC49A2" w14:textId="77777777" w:rsidR="00DA107A" w:rsidRPr="003B65E0" w:rsidRDefault="00DA107A" w:rsidP="00DA107A">
      <w:pPr>
        <w:jc w:val="center"/>
        <w:rPr>
          <w:szCs w:val="24"/>
          <w:u w:val="single"/>
        </w:rPr>
      </w:pP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790"/>
        <w:gridCol w:w="1890"/>
        <w:gridCol w:w="2520"/>
      </w:tblGrid>
      <w:tr w:rsidR="00DA107A" w:rsidRPr="00823808" w14:paraId="314EF922" w14:textId="77777777" w:rsidTr="0008386F">
        <w:tc>
          <w:tcPr>
            <w:tcW w:w="4230" w:type="dxa"/>
            <w:shd w:val="clear" w:color="auto" w:fill="auto"/>
          </w:tcPr>
          <w:p w14:paraId="5C01BBCB" w14:textId="77777777" w:rsidR="00DA107A" w:rsidRPr="00823808" w:rsidRDefault="00DA107A" w:rsidP="0008386F">
            <w:pPr>
              <w:rPr>
                <w:b/>
                <w:szCs w:val="24"/>
              </w:rPr>
            </w:pPr>
          </w:p>
        </w:tc>
        <w:tc>
          <w:tcPr>
            <w:tcW w:w="2790" w:type="dxa"/>
            <w:shd w:val="clear" w:color="auto" w:fill="auto"/>
          </w:tcPr>
          <w:p w14:paraId="498E42D2" w14:textId="77777777" w:rsidR="00DA107A" w:rsidRPr="00823808" w:rsidRDefault="00DA107A" w:rsidP="0008386F">
            <w:pPr>
              <w:jc w:val="center"/>
              <w:rPr>
                <w:b/>
                <w:szCs w:val="24"/>
              </w:rPr>
            </w:pPr>
            <w:r w:rsidRPr="00823808">
              <w:rPr>
                <w:b/>
                <w:szCs w:val="24"/>
              </w:rPr>
              <w:t>Applicable</w:t>
            </w:r>
            <w:r w:rsidRPr="00823808">
              <w:rPr>
                <w:b/>
              </w:rPr>
              <w:t xml:space="preserve"> Article and </w:t>
            </w:r>
            <w:r w:rsidRPr="00823808">
              <w:rPr>
                <w:b/>
                <w:szCs w:val="24"/>
              </w:rPr>
              <w:t>Standard of Practice</w:t>
            </w:r>
          </w:p>
        </w:tc>
        <w:tc>
          <w:tcPr>
            <w:tcW w:w="1890" w:type="dxa"/>
            <w:shd w:val="clear" w:color="auto" w:fill="auto"/>
          </w:tcPr>
          <w:p w14:paraId="71A65797" w14:textId="77777777" w:rsidR="00DA107A" w:rsidRPr="00823808" w:rsidRDefault="00DA107A" w:rsidP="0008386F">
            <w:pPr>
              <w:jc w:val="center"/>
              <w:rPr>
                <w:b/>
                <w:szCs w:val="24"/>
              </w:rPr>
            </w:pPr>
            <w:r w:rsidRPr="00823808">
              <w:rPr>
                <w:b/>
                <w:szCs w:val="24"/>
              </w:rPr>
              <w:t>Fine</w:t>
            </w:r>
          </w:p>
        </w:tc>
        <w:tc>
          <w:tcPr>
            <w:tcW w:w="2520" w:type="dxa"/>
            <w:shd w:val="clear" w:color="auto" w:fill="auto"/>
          </w:tcPr>
          <w:p w14:paraId="157B2BE0" w14:textId="77777777" w:rsidR="00DA107A" w:rsidRPr="00823808" w:rsidRDefault="00DA107A" w:rsidP="0008386F">
            <w:pPr>
              <w:jc w:val="center"/>
              <w:rPr>
                <w:b/>
                <w:szCs w:val="24"/>
              </w:rPr>
            </w:pPr>
            <w:r w:rsidRPr="00823808">
              <w:rPr>
                <w:b/>
                <w:szCs w:val="24"/>
              </w:rPr>
              <w:t>Ethics Training available in lieu of or in addition to fine?</w:t>
            </w:r>
          </w:p>
        </w:tc>
      </w:tr>
      <w:tr w:rsidR="00DA107A" w:rsidRPr="00823808" w14:paraId="38EF9467" w14:textId="77777777" w:rsidTr="0008386F">
        <w:tc>
          <w:tcPr>
            <w:tcW w:w="4230" w:type="dxa"/>
            <w:shd w:val="clear" w:color="auto" w:fill="auto"/>
          </w:tcPr>
          <w:p w14:paraId="3DB84F24" w14:textId="77777777" w:rsidR="00DA107A" w:rsidRPr="00823808" w:rsidRDefault="00DA107A" w:rsidP="0008386F">
            <w:pPr>
              <w:rPr>
                <w:b/>
                <w:szCs w:val="24"/>
              </w:rPr>
            </w:pPr>
            <w:r w:rsidRPr="00823808">
              <w:rPr>
                <w:b/>
                <w:szCs w:val="24"/>
              </w:rPr>
              <w:t>Article 1</w:t>
            </w:r>
          </w:p>
          <w:p w14:paraId="62C0DDFC" w14:textId="77777777" w:rsidR="00DA107A" w:rsidRPr="00823808" w:rsidRDefault="00DA107A" w:rsidP="0008386F">
            <w:pPr>
              <w:rPr>
                <w:b/>
                <w:szCs w:val="24"/>
              </w:rPr>
            </w:pPr>
          </w:p>
        </w:tc>
        <w:tc>
          <w:tcPr>
            <w:tcW w:w="2790" w:type="dxa"/>
            <w:shd w:val="clear" w:color="auto" w:fill="auto"/>
          </w:tcPr>
          <w:p w14:paraId="1C10F872" w14:textId="77777777" w:rsidR="00DA107A" w:rsidRPr="00823808" w:rsidRDefault="00DA107A" w:rsidP="0008386F">
            <w:pPr>
              <w:rPr>
                <w:szCs w:val="24"/>
              </w:rPr>
            </w:pPr>
          </w:p>
        </w:tc>
        <w:tc>
          <w:tcPr>
            <w:tcW w:w="1890" w:type="dxa"/>
            <w:shd w:val="clear" w:color="auto" w:fill="auto"/>
          </w:tcPr>
          <w:p w14:paraId="5217F678" w14:textId="77777777" w:rsidR="00DA107A" w:rsidRPr="00823808" w:rsidRDefault="00DA107A" w:rsidP="0008386F">
            <w:pPr>
              <w:rPr>
                <w:b/>
                <w:szCs w:val="24"/>
              </w:rPr>
            </w:pPr>
          </w:p>
        </w:tc>
        <w:tc>
          <w:tcPr>
            <w:tcW w:w="2520" w:type="dxa"/>
            <w:shd w:val="clear" w:color="auto" w:fill="auto"/>
          </w:tcPr>
          <w:p w14:paraId="7C573740" w14:textId="77777777" w:rsidR="00DA107A" w:rsidRPr="00823808" w:rsidRDefault="00DA107A" w:rsidP="0008386F">
            <w:pPr>
              <w:rPr>
                <w:b/>
                <w:szCs w:val="24"/>
              </w:rPr>
            </w:pPr>
          </w:p>
        </w:tc>
      </w:tr>
      <w:tr w:rsidR="00DA107A" w:rsidRPr="00823808" w14:paraId="628F5D54" w14:textId="77777777" w:rsidTr="0008386F">
        <w:tc>
          <w:tcPr>
            <w:tcW w:w="4230" w:type="dxa"/>
            <w:shd w:val="clear" w:color="auto" w:fill="auto"/>
          </w:tcPr>
          <w:p w14:paraId="5A1CFA86" w14:textId="77777777" w:rsidR="00DA107A" w:rsidRPr="00823808" w:rsidRDefault="00DA107A" w:rsidP="0008386F">
            <w:pPr>
              <w:rPr>
                <w:szCs w:val="24"/>
              </w:rPr>
            </w:pPr>
            <w:r w:rsidRPr="00823808">
              <w:rPr>
                <w:szCs w:val="24"/>
              </w:rPr>
              <w:t>Failure to fully disclose and obtain consent from both parties when representing both the seller/landlord and buyer/tenant in the same transaction</w:t>
            </w:r>
          </w:p>
        </w:tc>
        <w:tc>
          <w:tcPr>
            <w:tcW w:w="2790" w:type="dxa"/>
            <w:shd w:val="clear" w:color="auto" w:fill="auto"/>
          </w:tcPr>
          <w:p w14:paraId="24C3CEFB" w14:textId="77777777" w:rsidR="00DA107A" w:rsidRPr="00823808" w:rsidRDefault="00DA107A" w:rsidP="0008386F">
            <w:pPr>
              <w:rPr>
                <w:szCs w:val="24"/>
              </w:rPr>
            </w:pPr>
            <w:r w:rsidRPr="00823808">
              <w:rPr>
                <w:szCs w:val="24"/>
              </w:rPr>
              <w:t>Article 1, supported by Standard of Practice 1-5</w:t>
            </w:r>
          </w:p>
        </w:tc>
        <w:tc>
          <w:tcPr>
            <w:tcW w:w="1890" w:type="dxa"/>
            <w:shd w:val="clear" w:color="auto" w:fill="auto"/>
          </w:tcPr>
          <w:p w14:paraId="06E84708" w14:textId="77777777" w:rsidR="00DA107A" w:rsidRPr="00823808" w:rsidRDefault="00DA107A" w:rsidP="0008386F">
            <w:pPr>
              <w:rPr>
                <w:b/>
                <w:szCs w:val="24"/>
              </w:rPr>
            </w:pPr>
          </w:p>
        </w:tc>
        <w:tc>
          <w:tcPr>
            <w:tcW w:w="2520" w:type="dxa"/>
            <w:shd w:val="clear" w:color="auto" w:fill="auto"/>
          </w:tcPr>
          <w:p w14:paraId="17F9BB33" w14:textId="77777777" w:rsidR="00DA107A" w:rsidRPr="00823808" w:rsidRDefault="00DA107A" w:rsidP="0008386F">
            <w:pPr>
              <w:rPr>
                <w:b/>
                <w:szCs w:val="24"/>
              </w:rPr>
            </w:pPr>
          </w:p>
        </w:tc>
      </w:tr>
      <w:tr w:rsidR="00DA107A" w:rsidRPr="00823808" w14:paraId="1EDD4F0D" w14:textId="77777777" w:rsidTr="0008386F">
        <w:tc>
          <w:tcPr>
            <w:tcW w:w="4230" w:type="dxa"/>
            <w:shd w:val="clear" w:color="auto" w:fill="auto"/>
          </w:tcPr>
          <w:p w14:paraId="30FC5C7F" w14:textId="77777777" w:rsidR="00DA107A" w:rsidRPr="00823808" w:rsidRDefault="00DA107A" w:rsidP="0008386F">
            <w:pPr>
              <w:rPr>
                <w:szCs w:val="24"/>
              </w:rPr>
            </w:pPr>
            <w:r w:rsidRPr="00823808">
              <w:rPr>
                <w:szCs w:val="24"/>
              </w:rPr>
              <w:t xml:space="preserve">Failure to submit offers and </w:t>
            </w:r>
            <w:proofErr w:type="gramStart"/>
            <w:r w:rsidRPr="00823808">
              <w:rPr>
                <w:szCs w:val="24"/>
              </w:rPr>
              <w:t>counter-offers</w:t>
            </w:r>
            <w:proofErr w:type="gramEnd"/>
            <w:r w:rsidRPr="00823808">
              <w:rPr>
                <w:szCs w:val="24"/>
              </w:rPr>
              <w:t xml:space="preserve"> objectively and as quickly as possible</w:t>
            </w:r>
          </w:p>
        </w:tc>
        <w:tc>
          <w:tcPr>
            <w:tcW w:w="2790" w:type="dxa"/>
            <w:shd w:val="clear" w:color="auto" w:fill="auto"/>
          </w:tcPr>
          <w:p w14:paraId="5C754D13" w14:textId="77777777" w:rsidR="00DA107A" w:rsidRPr="00823808" w:rsidRDefault="00DA107A" w:rsidP="0008386F">
            <w:pPr>
              <w:rPr>
                <w:szCs w:val="24"/>
              </w:rPr>
            </w:pPr>
            <w:r w:rsidRPr="00823808">
              <w:rPr>
                <w:szCs w:val="24"/>
              </w:rPr>
              <w:t>Article 1, supported by Standard of Practice 1-6</w:t>
            </w:r>
          </w:p>
        </w:tc>
        <w:tc>
          <w:tcPr>
            <w:tcW w:w="1890" w:type="dxa"/>
            <w:shd w:val="clear" w:color="auto" w:fill="auto"/>
          </w:tcPr>
          <w:p w14:paraId="1B1AC30C" w14:textId="77777777" w:rsidR="00DA107A" w:rsidRPr="00823808" w:rsidRDefault="00DA107A" w:rsidP="0008386F">
            <w:pPr>
              <w:rPr>
                <w:b/>
                <w:szCs w:val="24"/>
              </w:rPr>
            </w:pPr>
          </w:p>
        </w:tc>
        <w:tc>
          <w:tcPr>
            <w:tcW w:w="2520" w:type="dxa"/>
            <w:shd w:val="clear" w:color="auto" w:fill="auto"/>
          </w:tcPr>
          <w:p w14:paraId="6CB96179" w14:textId="77777777" w:rsidR="00DA107A" w:rsidRPr="00823808" w:rsidRDefault="00DA107A" w:rsidP="0008386F">
            <w:pPr>
              <w:rPr>
                <w:b/>
                <w:szCs w:val="24"/>
              </w:rPr>
            </w:pPr>
          </w:p>
        </w:tc>
      </w:tr>
      <w:tr w:rsidR="008A05FB" w:rsidRPr="00823808" w14:paraId="4B2AF914" w14:textId="77777777" w:rsidTr="0008386F">
        <w:tc>
          <w:tcPr>
            <w:tcW w:w="4230" w:type="dxa"/>
            <w:shd w:val="clear" w:color="auto" w:fill="auto"/>
          </w:tcPr>
          <w:p w14:paraId="2B2E755F" w14:textId="77777777" w:rsidR="008A05FB" w:rsidRPr="00823808" w:rsidRDefault="008A05FB" w:rsidP="0008386F">
            <w:pPr>
              <w:rPr>
                <w:szCs w:val="24"/>
              </w:rPr>
            </w:pPr>
            <w:r>
              <w:rPr>
                <w:szCs w:val="24"/>
              </w:rPr>
              <w:t>Failure on the part of a listing broker to provide</w:t>
            </w:r>
            <w:r w:rsidR="000A51C7">
              <w:rPr>
                <w:szCs w:val="24"/>
              </w:rPr>
              <w:t>, as soon as practical,</w:t>
            </w:r>
            <w:r>
              <w:rPr>
                <w:szCs w:val="24"/>
              </w:rPr>
              <w:t xml:space="preserve"> written affirmation that an offer was presented or written notification that the seller/landlord has waived the obligation to have the offer presented, upon written request of a cooperating broker submitting an offer.</w:t>
            </w:r>
          </w:p>
        </w:tc>
        <w:tc>
          <w:tcPr>
            <w:tcW w:w="2790" w:type="dxa"/>
            <w:shd w:val="clear" w:color="auto" w:fill="auto"/>
          </w:tcPr>
          <w:p w14:paraId="30599A93" w14:textId="77777777" w:rsidR="008A05FB" w:rsidRPr="00823808" w:rsidRDefault="008A05FB" w:rsidP="0008386F">
            <w:pPr>
              <w:rPr>
                <w:szCs w:val="24"/>
              </w:rPr>
            </w:pPr>
            <w:r>
              <w:rPr>
                <w:szCs w:val="24"/>
              </w:rPr>
              <w:t>Article 1, supported by Standard of Practice 1-7</w:t>
            </w:r>
          </w:p>
        </w:tc>
        <w:tc>
          <w:tcPr>
            <w:tcW w:w="1890" w:type="dxa"/>
            <w:shd w:val="clear" w:color="auto" w:fill="auto"/>
          </w:tcPr>
          <w:p w14:paraId="788BC3CE" w14:textId="77777777" w:rsidR="008A05FB" w:rsidRPr="00823808" w:rsidRDefault="008A05FB" w:rsidP="0008386F">
            <w:pPr>
              <w:rPr>
                <w:b/>
                <w:szCs w:val="24"/>
              </w:rPr>
            </w:pPr>
          </w:p>
        </w:tc>
        <w:tc>
          <w:tcPr>
            <w:tcW w:w="2520" w:type="dxa"/>
            <w:shd w:val="clear" w:color="auto" w:fill="auto"/>
          </w:tcPr>
          <w:p w14:paraId="24E39DD7" w14:textId="77777777" w:rsidR="008A05FB" w:rsidRPr="00823808" w:rsidRDefault="008A05FB" w:rsidP="0008386F">
            <w:pPr>
              <w:rPr>
                <w:b/>
                <w:szCs w:val="24"/>
              </w:rPr>
            </w:pPr>
          </w:p>
        </w:tc>
      </w:tr>
      <w:tr w:rsidR="00B548BF" w:rsidRPr="00823808" w14:paraId="1455E76C" w14:textId="77777777" w:rsidTr="0008386F">
        <w:tc>
          <w:tcPr>
            <w:tcW w:w="4230" w:type="dxa"/>
            <w:shd w:val="clear" w:color="auto" w:fill="auto"/>
          </w:tcPr>
          <w:p w14:paraId="4AA2420A"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Failure on the part of a buyer’s/tenant’s</w:t>
            </w:r>
          </w:p>
          <w:p w14:paraId="4DCC684D"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broker to provide, as soon as practical, a</w:t>
            </w:r>
          </w:p>
          <w:p w14:paraId="35CA36AD"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written affirmation to the listing broker</w:t>
            </w:r>
          </w:p>
          <w:p w14:paraId="29A0697C"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 xml:space="preserve">stating that the </w:t>
            </w:r>
            <w:proofErr w:type="gramStart"/>
            <w:r w:rsidRPr="004A043C">
              <w:rPr>
                <w:rFonts w:ascii="TimesNewRomanPSMT" w:eastAsia="Calibri" w:hAnsi="TimesNewRomanPSMT" w:cs="TimesNewRomanPSMT"/>
                <w:szCs w:val="24"/>
              </w:rPr>
              <w:t>counter-offer</w:t>
            </w:r>
            <w:proofErr w:type="gramEnd"/>
            <w:r w:rsidRPr="004A043C">
              <w:rPr>
                <w:rFonts w:ascii="TimesNewRomanPSMT" w:eastAsia="Calibri" w:hAnsi="TimesNewRomanPSMT" w:cs="TimesNewRomanPSMT"/>
                <w:szCs w:val="24"/>
              </w:rPr>
              <w:t xml:space="preserve"> has been</w:t>
            </w:r>
          </w:p>
          <w:p w14:paraId="09FB7D56"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submitted to the buyers/tenants, or a</w:t>
            </w:r>
          </w:p>
          <w:p w14:paraId="10040411"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written notification that the</w:t>
            </w:r>
          </w:p>
          <w:p w14:paraId="051CC005"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buyers/tenants have waived the</w:t>
            </w:r>
          </w:p>
          <w:p w14:paraId="3AFF2A00" w14:textId="77777777" w:rsidR="00B548BF" w:rsidRPr="004A043C" w:rsidRDefault="00B548BF" w:rsidP="00B548BF">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 xml:space="preserve">obligation to have the </w:t>
            </w:r>
            <w:proofErr w:type="gramStart"/>
            <w:r w:rsidRPr="004A043C">
              <w:rPr>
                <w:rFonts w:ascii="TimesNewRomanPSMT" w:eastAsia="Calibri" w:hAnsi="TimesNewRomanPSMT" w:cs="TimesNewRomanPSMT"/>
                <w:szCs w:val="24"/>
              </w:rPr>
              <w:t>counter-offer</w:t>
            </w:r>
            <w:proofErr w:type="gramEnd"/>
          </w:p>
          <w:p w14:paraId="69FB25F4" w14:textId="77777777" w:rsidR="00B548BF" w:rsidRPr="00823808" w:rsidRDefault="00B548BF" w:rsidP="00B548BF">
            <w:pPr>
              <w:rPr>
                <w:szCs w:val="24"/>
              </w:rPr>
            </w:pPr>
            <w:r w:rsidRPr="004A043C">
              <w:rPr>
                <w:rFonts w:ascii="TimesNewRomanPSMT" w:eastAsia="Calibri" w:hAnsi="TimesNewRomanPSMT" w:cs="TimesNewRomanPSMT"/>
                <w:szCs w:val="24"/>
              </w:rPr>
              <w:t>presented</w:t>
            </w:r>
            <w:r w:rsidRPr="00B548BF">
              <w:rPr>
                <w:rFonts w:ascii="TimesNewRomanPSMT" w:eastAsia="Calibri" w:hAnsi="TimesNewRomanPSMT" w:cs="TimesNewRomanPSMT"/>
                <w:szCs w:val="24"/>
                <w:u w:val="single"/>
              </w:rPr>
              <w:t>.</w:t>
            </w:r>
          </w:p>
        </w:tc>
        <w:tc>
          <w:tcPr>
            <w:tcW w:w="2790" w:type="dxa"/>
            <w:shd w:val="clear" w:color="auto" w:fill="auto"/>
          </w:tcPr>
          <w:p w14:paraId="62EBE751" w14:textId="77777777" w:rsidR="008A6EDB" w:rsidRPr="004A043C" w:rsidRDefault="008A6EDB" w:rsidP="008A6EDB">
            <w:pPr>
              <w:autoSpaceDE w:val="0"/>
              <w:autoSpaceDN w:val="0"/>
              <w:adjustRightInd w:val="0"/>
              <w:rPr>
                <w:rFonts w:ascii="TimesNewRomanPSMT" w:eastAsia="Calibri" w:hAnsi="TimesNewRomanPSMT" w:cs="TimesNewRomanPSMT"/>
                <w:szCs w:val="24"/>
              </w:rPr>
            </w:pPr>
            <w:r w:rsidRPr="004A043C">
              <w:rPr>
                <w:rFonts w:ascii="TimesNewRomanPSMT" w:eastAsia="Calibri" w:hAnsi="TimesNewRomanPSMT" w:cs="TimesNewRomanPSMT"/>
                <w:szCs w:val="24"/>
              </w:rPr>
              <w:t>Article 1, supported by</w:t>
            </w:r>
          </w:p>
          <w:p w14:paraId="0F15FAED" w14:textId="77777777" w:rsidR="00B548BF" w:rsidRPr="004A043C" w:rsidRDefault="008A6EDB" w:rsidP="008A6EDB">
            <w:pPr>
              <w:rPr>
                <w:szCs w:val="24"/>
              </w:rPr>
            </w:pPr>
            <w:r w:rsidRPr="004A043C">
              <w:rPr>
                <w:rFonts w:ascii="TimesNewRomanPSMT" w:eastAsia="Calibri" w:hAnsi="TimesNewRomanPSMT" w:cs="TimesNewRomanPSMT"/>
                <w:szCs w:val="24"/>
              </w:rPr>
              <w:t>Standard of Practice 1-8</w:t>
            </w:r>
          </w:p>
        </w:tc>
        <w:tc>
          <w:tcPr>
            <w:tcW w:w="1890" w:type="dxa"/>
            <w:shd w:val="clear" w:color="auto" w:fill="auto"/>
          </w:tcPr>
          <w:p w14:paraId="59480A2C" w14:textId="77777777" w:rsidR="00B548BF" w:rsidRPr="00823808" w:rsidRDefault="00B548BF" w:rsidP="0008386F">
            <w:pPr>
              <w:rPr>
                <w:b/>
                <w:szCs w:val="24"/>
              </w:rPr>
            </w:pPr>
          </w:p>
        </w:tc>
        <w:tc>
          <w:tcPr>
            <w:tcW w:w="2520" w:type="dxa"/>
            <w:shd w:val="clear" w:color="auto" w:fill="auto"/>
          </w:tcPr>
          <w:p w14:paraId="3BBB1D0A" w14:textId="77777777" w:rsidR="00B548BF" w:rsidRPr="00823808" w:rsidRDefault="00B548BF" w:rsidP="0008386F">
            <w:pPr>
              <w:rPr>
                <w:b/>
                <w:szCs w:val="24"/>
              </w:rPr>
            </w:pPr>
          </w:p>
        </w:tc>
      </w:tr>
      <w:tr w:rsidR="00DA107A" w:rsidRPr="00823808" w14:paraId="1CFBD40A" w14:textId="77777777" w:rsidTr="0008386F">
        <w:tc>
          <w:tcPr>
            <w:tcW w:w="4230" w:type="dxa"/>
            <w:shd w:val="clear" w:color="auto" w:fill="auto"/>
          </w:tcPr>
          <w:p w14:paraId="3E9BC518" w14:textId="77777777" w:rsidR="00DA107A" w:rsidRPr="00823808" w:rsidRDefault="00DA107A" w:rsidP="0008386F">
            <w:pPr>
              <w:rPr>
                <w:szCs w:val="24"/>
              </w:rPr>
            </w:pPr>
            <w:r w:rsidRPr="00823808">
              <w:rPr>
                <w:szCs w:val="24"/>
              </w:rPr>
              <w:t xml:space="preserve">Failure to advise sellers/landlords of information specified in Standard of Practice 1-12 prior to </w:t>
            </w:r>
            <w:proofErr w:type="gramStart"/>
            <w:r w:rsidRPr="00823808">
              <w:rPr>
                <w:szCs w:val="24"/>
              </w:rPr>
              <w:t>entering into</w:t>
            </w:r>
            <w:proofErr w:type="gramEnd"/>
            <w:r w:rsidRPr="00823808">
              <w:rPr>
                <w:szCs w:val="24"/>
              </w:rPr>
              <w:t xml:space="preserve"> a listing contract</w:t>
            </w:r>
          </w:p>
        </w:tc>
        <w:tc>
          <w:tcPr>
            <w:tcW w:w="2790" w:type="dxa"/>
            <w:shd w:val="clear" w:color="auto" w:fill="auto"/>
          </w:tcPr>
          <w:p w14:paraId="78E4FFA9" w14:textId="77777777" w:rsidR="00DA107A" w:rsidRPr="00823808" w:rsidRDefault="00DA107A" w:rsidP="0008386F">
            <w:pPr>
              <w:rPr>
                <w:szCs w:val="24"/>
              </w:rPr>
            </w:pPr>
            <w:r w:rsidRPr="00823808">
              <w:rPr>
                <w:szCs w:val="24"/>
              </w:rPr>
              <w:t>Article 1, supported by Standard of Practice 1-12</w:t>
            </w:r>
          </w:p>
          <w:p w14:paraId="0430DD5A" w14:textId="77777777" w:rsidR="00DA107A" w:rsidRPr="00823808" w:rsidRDefault="00DA107A" w:rsidP="0008386F">
            <w:pPr>
              <w:rPr>
                <w:szCs w:val="24"/>
              </w:rPr>
            </w:pPr>
          </w:p>
        </w:tc>
        <w:tc>
          <w:tcPr>
            <w:tcW w:w="1890" w:type="dxa"/>
            <w:shd w:val="clear" w:color="auto" w:fill="auto"/>
          </w:tcPr>
          <w:p w14:paraId="61A868FC" w14:textId="77777777" w:rsidR="00DA107A" w:rsidRPr="00823808" w:rsidRDefault="00DA107A" w:rsidP="0008386F">
            <w:pPr>
              <w:rPr>
                <w:b/>
                <w:szCs w:val="24"/>
              </w:rPr>
            </w:pPr>
          </w:p>
        </w:tc>
        <w:tc>
          <w:tcPr>
            <w:tcW w:w="2520" w:type="dxa"/>
            <w:shd w:val="clear" w:color="auto" w:fill="auto"/>
          </w:tcPr>
          <w:p w14:paraId="14D07A98" w14:textId="77777777" w:rsidR="00DA107A" w:rsidRPr="00823808" w:rsidRDefault="00DA107A" w:rsidP="0008386F">
            <w:pPr>
              <w:rPr>
                <w:b/>
                <w:szCs w:val="24"/>
              </w:rPr>
            </w:pPr>
          </w:p>
        </w:tc>
      </w:tr>
      <w:tr w:rsidR="00DA107A" w:rsidRPr="00823808" w14:paraId="652914A2" w14:textId="77777777" w:rsidTr="0008386F">
        <w:tc>
          <w:tcPr>
            <w:tcW w:w="4230" w:type="dxa"/>
            <w:shd w:val="clear" w:color="auto" w:fill="auto"/>
          </w:tcPr>
          <w:p w14:paraId="04024DAA" w14:textId="77777777" w:rsidR="00DA107A" w:rsidRPr="00823808" w:rsidRDefault="00DA107A" w:rsidP="0008386F">
            <w:pPr>
              <w:rPr>
                <w:szCs w:val="24"/>
              </w:rPr>
            </w:pPr>
            <w:r w:rsidRPr="00823808">
              <w:rPr>
                <w:szCs w:val="24"/>
              </w:rPr>
              <w:t>Failure to advise buyers/tenants of information specified in Standard of Practice 1-13 prior to entering into a buyer/tenant agreement</w:t>
            </w:r>
          </w:p>
        </w:tc>
        <w:tc>
          <w:tcPr>
            <w:tcW w:w="2790" w:type="dxa"/>
            <w:shd w:val="clear" w:color="auto" w:fill="auto"/>
          </w:tcPr>
          <w:p w14:paraId="676A37EA" w14:textId="77777777" w:rsidR="00DA107A" w:rsidRPr="00823808" w:rsidRDefault="00DA107A" w:rsidP="0008386F">
            <w:pPr>
              <w:rPr>
                <w:szCs w:val="24"/>
              </w:rPr>
            </w:pPr>
            <w:r w:rsidRPr="00823808">
              <w:rPr>
                <w:szCs w:val="24"/>
              </w:rPr>
              <w:t>Article 1, supported by Standard of Practice 1-13</w:t>
            </w:r>
          </w:p>
          <w:p w14:paraId="70EFFEF2" w14:textId="77777777" w:rsidR="00DA107A" w:rsidRPr="00823808" w:rsidRDefault="00DA107A" w:rsidP="0008386F">
            <w:pPr>
              <w:rPr>
                <w:szCs w:val="24"/>
              </w:rPr>
            </w:pPr>
          </w:p>
        </w:tc>
        <w:tc>
          <w:tcPr>
            <w:tcW w:w="1890" w:type="dxa"/>
            <w:shd w:val="clear" w:color="auto" w:fill="auto"/>
          </w:tcPr>
          <w:p w14:paraId="42147C2E" w14:textId="77777777" w:rsidR="00DA107A" w:rsidRPr="00823808" w:rsidRDefault="00DA107A" w:rsidP="0008386F">
            <w:pPr>
              <w:rPr>
                <w:b/>
                <w:szCs w:val="24"/>
              </w:rPr>
            </w:pPr>
          </w:p>
        </w:tc>
        <w:tc>
          <w:tcPr>
            <w:tcW w:w="2520" w:type="dxa"/>
            <w:shd w:val="clear" w:color="auto" w:fill="auto"/>
          </w:tcPr>
          <w:p w14:paraId="26ECCAB4" w14:textId="77777777" w:rsidR="00DA107A" w:rsidRPr="00823808" w:rsidRDefault="00DA107A" w:rsidP="0008386F">
            <w:pPr>
              <w:rPr>
                <w:b/>
                <w:szCs w:val="24"/>
              </w:rPr>
            </w:pPr>
          </w:p>
        </w:tc>
      </w:tr>
      <w:tr w:rsidR="00DA107A" w:rsidRPr="00823808" w14:paraId="477CB41B" w14:textId="77777777" w:rsidTr="0008386F">
        <w:tc>
          <w:tcPr>
            <w:tcW w:w="4230" w:type="dxa"/>
            <w:shd w:val="clear" w:color="auto" w:fill="auto"/>
          </w:tcPr>
          <w:p w14:paraId="7409825C" w14:textId="77777777" w:rsidR="00DA107A" w:rsidRPr="00823808" w:rsidRDefault="00DA107A" w:rsidP="0008386F">
            <w:pPr>
              <w:rPr>
                <w:szCs w:val="24"/>
              </w:rPr>
            </w:pPr>
            <w:r w:rsidRPr="00823808">
              <w:rPr>
                <w:szCs w:val="24"/>
              </w:rPr>
              <w:t>Accessing or using, or allowing others to access or use, a property managed or listed on terms other than those authorized by the owner or seller</w:t>
            </w:r>
          </w:p>
        </w:tc>
        <w:tc>
          <w:tcPr>
            <w:tcW w:w="2790" w:type="dxa"/>
            <w:shd w:val="clear" w:color="auto" w:fill="auto"/>
          </w:tcPr>
          <w:p w14:paraId="2BDAF8C3" w14:textId="77777777" w:rsidR="00DA107A" w:rsidRPr="00823808" w:rsidRDefault="00DA107A" w:rsidP="0008386F">
            <w:pPr>
              <w:rPr>
                <w:szCs w:val="24"/>
              </w:rPr>
            </w:pPr>
            <w:r w:rsidRPr="00823808">
              <w:rPr>
                <w:szCs w:val="24"/>
              </w:rPr>
              <w:t>Article 1, supported by Standard of Practice 1-16</w:t>
            </w:r>
          </w:p>
        </w:tc>
        <w:tc>
          <w:tcPr>
            <w:tcW w:w="1890" w:type="dxa"/>
            <w:shd w:val="clear" w:color="auto" w:fill="auto"/>
          </w:tcPr>
          <w:p w14:paraId="0A8615B4" w14:textId="77777777" w:rsidR="00DA107A" w:rsidRPr="00823808" w:rsidRDefault="00DA107A" w:rsidP="0008386F">
            <w:pPr>
              <w:rPr>
                <w:b/>
                <w:szCs w:val="24"/>
              </w:rPr>
            </w:pPr>
          </w:p>
        </w:tc>
        <w:tc>
          <w:tcPr>
            <w:tcW w:w="2520" w:type="dxa"/>
            <w:shd w:val="clear" w:color="auto" w:fill="auto"/>
          </w:tcPr>
          <w:p w14:paraId="54FB4B18" w14:textId="77777777" w:rsidR="00DA107A" w:rsidRPr="00823808" w:rsidRDefault="00DA107A" w:rsidP="0008386F">
            <w:pPr>
              <w:rPr>
                <w:b/>
                <w:szCs w:val="24"/>
              </w:rPr>
            </w:pPr>
          </w:p>
        </w:tc>
      </w:tr>
      <w:tr w:rsidR="00DA107A" w:rsidRPr="00823808" w14:paraId="5FDDE864" w14:textId="77777777" w:rsidTr="0008386F">
        <w:tc>
          <w:tcPr>
            <w:tcW w:w="4230" w:type="dxa"/>
            <w:shd w:val="clear" w:color="auto" w:fill="auto"/>
          </w:tcPr>
          <w:p w14:paraId="1616483A" w14:textId="77777777" w:rsidR="00DA107A" w:rsidRPr="00823808" w:rsidRDefault="00DA107A" w:rsidP="0008386F">
            <w:pPr>
              <w:rPr>
                <w:b/>
                <w:szCs w:val="24"/>
              </w:rPr>
            </w:pPr>
            <w:r w:rsidRPr="00823808">
              <w:rPr>
                <w:b/>
                <w:szCs w:val="24"/>
              </w:rPr>
              <w:t>Article 3</w:t>
            </w:r>
          </w:p>
          <w:p w14:paraId="6FDD996E" w14:textId="77777777" w:rsidR="00DA107A" w:rsidRPr="00823808" w:rsidRDefault="00DA107A" w:rsidP="0008386F">
            <w:pPr>
              <w:rPr>
                <w:b/>
                <w:szCs w:val="24"/>
              </w:rPr>
            </w:pPr>
          </w:p>
        </w:tc>
        <w:tc>
          <w:tcPr>
            <w:tcW w:w="2790" w:type="dxa"/>
            <w:shd w:val="clear" w:color="auto" w:fill="auto"/>
          </w:tcPr>
          <w:p w14:paraId="2354124A" w14:textId="77777777" w:rsidR="00DA107A" w:rsidRPr="00823808" w:rsidRDefault="00DA107A" w:rsidP="0008386F">
            <w:pPr>
              <w:rPr>
                <w:szCs w:val="24"/>
              </w:rPr>
            </w:pPr>
          </w:p>
        </w:tc>
        <w:tc>
          <w:tcPr>
            <w:tcW w:w="1890" w:type="dxa"/>
            <w:shd w:val="clear" w:color="auto" w:fill="auto"/>
          </w:tcPr>
          <w:p w14:paraId="6B4E6823" w14:textId="77777777" w:rsidR="00DA107A" w:rsidRPr="00823808" w:rsidRDefault="00DA107A" w:rsidP="0008386F">
            <w:pPr>
              <w:rPr>
                <w:b/>
                <w:szCs w:val="24"/>
              </w:rPr>
            </w:pPr>
          </w:p>
        </w:tc>
        <w:tc>
          <w:tcPr>
            <w:tcW w:w="2520" w:type="dxa"/>
            <w:shd w:val="clear" w:color="auto" w:fill="auto"/>
          </w:tcPr>
          <w:p w14:paraId="39FDFCF4" w14:textId="77777777" w:rsidR="00DA107A" w:rsidRPr="00823808" w:rsidRDefault="00DA107A" w:rsidP="0008386F">
            <w:pPr>
              <w:rPr>
                <w:b/>
                <w:szCs w:val="24"/>
              </w:rPr>
            </w:pPr>
          </w:p>
        </w:tc>
      </w:tr>
      <w:tr w:rsidR="00DA107A" w:rsidRPr="00823808" w14:paraId="365C5677" w14:textId="77777777" w:rsidTr="0008386F">
        <w:tc>
          <w:tcPr>
            <w:tcW w:w="4230" w:type="dxa"/>
            <w:shd w:val="clear" w:color="auto" w:fill="auto"/>
          </w:tcPr>
          <w:p w14:paraId="5F2936AB" w14:textId="77777777" w:rsidR="00DA107A" w:rsidRPr="00823808" w:rsidRDefault="00DA107A" w:rsidP="0008386F">
            <w:pPr>
              <w:rPr>
                <w:szCs w:val="24"/>
              </w:rPr>
            </w:pPr>
            <w:r w:rsidRPr="00823808">
              <w:rPr>
                <w:szCs w:val="24"/>
              </w:rPr>
              <w:t xml:space="preserve">Failure to communicate a change in </w:t>
            </w:r>
            <w:r w:rsidRPr="00823808">
              <w:rPr>
                <w:szCs w:val="24"/>
              </w:rPr>
              <w:lastRenderedPageBreak/>
              <w:t>compensation for cooperative services prior to the time that REALTOR</w:t>
            </w:r>
            <w:r w:rsidRPr="005A32CA">
              <w:rPr>
                <w:szCs w:val="24"/>
                <w:vertAlign w:val="superscript"/>
              </w:rPr>
              <w:t>®</w:t>
            </w:r>
            <w:r w:rsidRPr="00823808">
              <w:rPr>
                <w:szCs w:val="24"/>
              </w:rPr>
              <w:t xml:space="preserve"> submits an offer to purchase/lease the property</w:t>
            </w:r>
          </w:p>
        </w:tc>
        <w:tc>
          <w:tcPr>
            <w:tcW w:w="2790" w:type="dxa"/>
            <w:shd w:val="clear" w:color="auto" w:fill="auto"/>
          </w:tcPr>
          <w:p w14:paraId="4B231F01" w14:textId="77777777" w:rsidR="00DA107A" w:rsidRPr="00823808" w:rsidRDefault="00DA107A" w:rsidP="0008386F">
            <w:pPr>
              <w:rPr>
                <w:szCs w:val="24"/>
              </w:rPr>
            </w:pPr>
            <w:r w:rsidRPr="00823808">
              <w:rPr>
                <w:szCs w:val="24"/>
              </w:rPr>
              <w:lastRenderedPageBreak/>
              <w:t xml:space="preserve">Article 3, supported by </w:t>
            </w:r>
            <w:r w:rsidRPr="00823808">
              <w:rPr>
                <w:szCs w:val="24"/>
              </w:rPr>
              <w:lastRenderedPageBreak/>
              <w:t>Standard of Practice 3-2</w:t>
            </w:r>
          </w:p>
        </w:tc>
        <w:tc>
          <w:tcPr>
            <w:tcW w:w="1890" w:type="dxa"/>
            <w:shd w:val="clear" w:color="auto" w:fill="auto"/>
          </w:tcPr>
          <w:p w14:paraId="1D693DE3" w14:textId="77777777" w:rsidR="00DA107A" w:rsidRPr="00823808" w:rsidRDefault="00DA107A" w:rsidP="0008386F">
            <w:pPr>
              <w:rPr>
                <w:b/>
                <w:szCs w:val="24"/>
              </w:rPr>
            </w:pPr>
          </w:p>
        </w:tc>
        <w:tc>
          <w:tcPr>
            <w:tcW w:w="2520" w:type="dxa"/>
            <w:shd w:val="clear" w:color="auto" w:fill="auto"/>
          </w:tcPr>
          <w:p w14:paraId="6977DCBE" w14:textId="77777777" w:rsidR="00DA107A" w:rsidRPr="00823808" w:rsidRDefault="00DA107A" w:rsidP="0008386F">
            <w:pPr>
              <w:rPr>
                <w:b/>
                <w:szCs w:val="24"/>
              </w:rPr>
            </w:pPr>
          </w:p>
        </w:tc>
      </w:tr>
      <w:tr w:rsidR="00DA107A" w:rsidRPr="00823808" w14:paraId="5BF6C721" w14:textId="77777777" w:rsidTr="0008386F">
        <w:tc>
          <w:tcPr>
            <w:tcW w:w="4230" w:type="dxa"/>
            <w:shd w:val="clear" w:color="auto" w:fill="auto"/>
          </w:tcPr>
          <w:p w14:paraId="0F6DED39" w14:textId="77777777" w:rsidR="00DA107A" w:rsidRPr="00823808" w:rsidRDefault="00DA107A" w:rsidP="0008386F">
            <w:pPr>
              <w:rPr>
                <w:szCs w:val="24"/>
              </w:rPr>
            </w:pPr>
            <w:r w:rsidRPr="00823808">
              <w:rPr>
                <w:szCs w:val="24"/>
              </w:rPr>
              <w:t>As a listing broker, attempting to unilaterally modify the offered compensation with respect to a cooperative transaction after a REALTOR</w:t>
            </w:r>
            <w:r w:rsidRPr="005A32CA">
              <w:rPr>
                <w:szCs w:val="24"/>
                <w:vertAlign w:val="superscript"/>
              </w:rPr>
              <w:t>®</w:t>
            </w:r>
            <w:r w:rsidRPr="00823808">
              <w:rPr>
                <w:szCs w:val="24"/>
              </w:rPr>
              <w:t xml:space="preserve"> has submitted an offer to purchase or lease that property </w:t>
            </w:r>
          </w:p>
        </w:tc>
        <w:tc>
          <w:tcPr>
            <w:tcW w:w="2790" w:type="dxa"/>
            <w:shd w:val="clear" w:color="auto" w:fill="auto"/>
          </w:tcPr>
          <w:p w14:paraId="07325CF5" w14:textId="77777777" w:rsidR="00DA107A" w:rsidRPr="00823808" w:rsidRDefault="00DA107A" w:rsidP="0008386F">
            <w:pPr>
              <w:rPr>
                <w:szCs w:val="24"/>
              </w:rPr>
            </w:pPr>
            <w:r w:rsidRPr="00823808">
              <w:rPr>
                <w:szCs w:val="24"/>
              </w:rPr>
              <w:t>Article 3, supported by Standard of Practice 3-2</w:t>
            </w:r>
          </w:p>
        </w:tc>
        <w:tc>
          <w:tcPr>
            <w:tcW w:w="1890" w:type="dxa"/>
            <w:shd w:val="clear" w:color="auto" w:fill="auto"/>
          </w:tcPr>
          <w:p w14:paraId="3224CDCA" w14:textId="77777777" w:rsidR="00DA107A" w:rsidRPr="00823808" w:rsidRDefault="00DA107A" w:rsidP="0008386F">
            <w:pPr>
              <w:rPr>
                <w:b/>
                <w:szCs w:val="24"/>
              </w:rPr>
            </w:pPr>
          </w:p>
        </w:tc>
        <w:tc>
          <w:tcPr>
            <w:tcW w:w="2520" w:type="dxa"/>
            <w:shd w:val="clear" w:color="auto" w:fill="auto"/>
          </w:tcPr>
          <w:p w14:paraId="48F78D5B" w14:textId="77777777" w:rsidR="00DA107A" w:rsidRPr="00823808" w:rsidRDefault="00DA107A" w:rsidP="0008386F">
            <w:pPr>
              <w:rPr>
                <w:b/>
                <w:szCs w:val="24"/>
              </w:rPr>
            </w:pPr>
          </w:p>
        </w:tc>
      </w:tr>
      <w:tr w:rsidR="00DA107A" w:rsidRPr="00823808" w14:paraId="42911F28" w14:textId="77777777" w:rsidTr="0008386F">
        <w:tc>
          <w:tcPr>
            <w:tcW w:w="4230" w:type="dxa"/>
            <w:shd w:val="clear" w:color="auto" w:fill="auto"/>
          </w:tcPr>
          <w:p w14:paraId="25422C7C" w14:textId="77777777" w:rsidR="00DA107A" w:rsidRPr="00823808" w:rsidRDefault="00DA107A" w:rsidP="0008386F">
            <w:pPr>
              <w:rPr>
                <w:szCs w:val="24"/>
              </w:rPr>
            </w:pPr>
            <w:r w:rsidRPr="00823808">
              <w:rPr>
                <w:szCs w:val="24"/>
              </w:rPr>
              <w:t>Failing to disclose existence of dual or variable rate commission arrangements</w:t>
            </w:r>
          </w:p>
        </w:tc>
        <w:tc>
          <w:tcPr>
            <w:tcW w:w="2790" w:type="dxa"/>
            <w:shd w:val="clear" w:color="auto" w:fill="auto"/>
          </w:tcPr>
          <w:p w14:paraId="76B14F4F" w14:textId="77777777" w:rsidR="00DA107A" w:rsidRPr="00823808" w:rsidRDefault="00DA107A" w:rsidP="0008386F">
            <w:pPr>
              <w:rPr>
                <w:szCs w:val="24"/>
              </w:rPr>
            </w:pPr>
            <w:r w:rsidRPr="00823808">
              <w:rPr>
                <w:szCs w:val="24"/>
              </w:rPr>
              <w:t>Article 3, supported by Standard of Practice 3-4</w:t>
            </w:r>
          </w:p>
        </w:tc>
        <w:tc>
          <w:tcPr>
            <w:tcW w:w="1890" w:type="dxa"/>
            <w:shd w:val="clear" w:color="auto" w:fill="auto"/>
          </w:tcPr>
          <w:p w14:paraId="0B3C87BB" w14:textId="77777777" w:rsidR="00DA107A" w:rsidRPr="00823808" w:rsidRDefault="00DA107A" w:rsidP="0008386F">
            <w:pPr>
              <w:rPr>
                <w:b/>
                <w:szCs w:val="24"/>
              </w:rPr>
            </w:pPr>
          </w:p>
        </w:tc>
        <w:tc>
          <w:tcPr>
            <w:tcW w:w="2520" w:type="dxa"/>
            <w:shd w:val="clear" w:color="auto" w:fill="auto"/>
          </w:tcPr>
          <w:p w14:paraId="2C2FD87E" w14:textId="77777777" w:rsidR="00DA107A" w:rsidRPr="00823808" w:rsidRDefault="00DA107A" w:rsidP="0008386F">
            <w:pPr>
              <w:rPr>
                <w:b/>
                <w:szCs w:val="24"/>
              </w:rPr>
            </w:pPr>
          </w:p>
        </w:tc>
      </w:tr>
      <w:tr w:rsidR="00DA107A" w:rsidRPr="00823808" w14:paraId="5C58B00B" w14:textId="77777777" w:rsidTr="0008386F">
        <w:tc>
          <w:tcPr>
            <w:tcW w:w="4230" w:type="dxa"/>
            <w:shd w:val="clear" w:color="auto" w:fill="auto"/>
          </w:tcPr>
          <w:p w14:paraId="54652303" w14:textId="77777777" w:rsidR="00DA107A" w:rsidRPr="00823808" w:rsidRDefault="00DA107A" w:rsidP="0008386F">
            <w:pPr>
              <w:rPr>
                <w:szCs w:val="24"/>
              </w:rPr>
            </w:pPr>
            <w:r w:rsidRPr="00823808">
              <w:rPr>
                <w:szCs w:val="24"/>
              </w:rPr>
              <w:t>Failure to disclose to cooperating brokers differential that would result in dual or variable rate commission arrangement if sale/lease results through efforts of seller/landlord</w:t>
            </w:r>
          </w:p>
        </w:tc>
        <w:tc>
          <w:tcPr>
            <w:tcW w:w="2790" w:type="dxa"/>
            <w:shd w:val="clear" w:color="auto" w:fill="auto"/>
          </w:tcPr>
          <w:p w14:paraId="46FD0FFE" w14:textId="77777777" w:rsidR="00DA107A" w:rsidRPr="00823808" w:rsidRDefault="00DA107A" w:rsidP="0008386F">
            <w:pPr>
              <w:rPr>
                <w:szCs w:val="24"/>
              </w:rPr>
            </w:pPr>
            <w:r w:rsidRPr="00823808">
              <w:rPr>
                <w:szCs w:val="24"/>
              </w:rPr>
              <w:t>Article 3, supported by Standard of Practice 3-4</w:t>
            </w:r>
          </w:p>
        </w:tc>
        <w:tc>
          <w:tcPr>
            <w:tcW w:w="1890" w:type="dxa"/>
            <w:shd w:val="clear" w:color="auto" w:fill="auto"/>
          </w:tcPr>
          <w:p w14:paraId="755B5E4F" w14:textId="77777777" w:rsidR="00DA107A" w:rsidRPr="00823808" w:rsidRDefault="00DA107A" w:rsidP="0008386F">
            <w:pPr>
              <w:rPr>
                <w:b/>
                <w:szCs w:val="24"/>
              </w:rPr>
            </w:pPr>
          </w:p>
        </w:tc>
        <w:tc>
          <w:tcPr>
            <w:tcW w:w="2520" w:type="dxa"/>
            <w:shd w:val="clear" w:color="auto" w:fill="auto"/>
          </w:tcPr>
          <w:p w14:paraId="4D3DF123" w14:textId="77777777" w:rsidR="00DA107A" w:rsidRPr="00823808" w:rsidRDefault="00DA107A" w:rsidP="0008386F">
            <w:pPr>
              <w:rPr>
                <w:b/>
                <w:szCs w:val="24"/>
              </w:rPr>
            </w:pPr>
          </w:p>
        </w:tc>
      </w:tr>
      <w:tr w:rsidR="00DA107A" w:rsidRPr="00823808" w14:paraId="2172185F" w14:textId="77777777" w:rsidTr="0008386F">
        <w:tc>
          <w:tcPr>
            <w:tcW w:w="4230" w:type="dxa"/>
            <w:shd w:val="clear" w:color="auto" w:fill="auto"/>
          </w:tcPr>
          <w:p w14:paraId="51667827" w14:textId="77777777" w:rsidR="00DA107A" w:rsidRPr="00823808" w:rsidRDefault="00DA107A" w:rsidP="0008386F">
            <w:pPr>
              <w:rPr>
                <w:szCs w:val="24"/>
              </w:rPr>
            </w:pPr>
            <w:r w:rsidRPr="00823808">
              <w:rPr>
                <w:szCs w:val="24"/>
              </w:rPr>
              <w:t>Failing to disclose existence of accepted offers, including offers with unresolved contingencies, to cooperating brokers</w:t>
            </w:r>
          </w:p>
        </w:tc>
        <w:tc>
          <w:tcPr>
            <w:tcW w:w="2790" w:type="dxa"/>
            <w:shd w:val="clear" w:color="auto" w:fill="auto"/>
          </w:tcPr>
          <w:p w14:paraId="631C480F" w14:textId="77777777" w:rsidR="00DA107A" w:rsidRPr="00823808" w:rsidRDefault="00DA107A" w:rsidP="0008386F">
            <w:pPr>
              <w:rPr>
                <w:szCs w:val="24"/>
              </w:rPr>
            </w:pPr>
            <w:r w:rsidRPr="00823808">
              <w:rPr>
                <w:szCs w:val="24"/>
              </w:rPr>
              <w:t>Article 3, supported by Standard of Practice 3-6</w:t>
            </w:r>
          </w:p>
        </w:tc>
        <w:tc>
          <w:tcPr>
            <w:tcW w:w="1890" w:type="dxa"/>
            <w:shd w:val="clear" w:color="auto" w:fill="auto"/>
          </w:tcPr>
          <w:p w14:paraId="4F0543C3" w14:textId="77777777" w:rsidR="00DA107A" w:rsidRPr="00823808" w:rsidRDefault="00DA107A" w:rsidP="0008386F">
            <w:pPr>
              <w:rPr>
                <w:b/>
                <w:szCs w:val="24"/>
              </w:rPr>
            </w:pPr>
          </w:p>
        </w:tc>
        <w:tc>
          <w:tcPr>
            <w:tcW w:w="2520" w:type="dxa"/>
            <w:shd w:val="clear" w:color="auto" w:fill="auto"/>
          </w:tcPr>
          <w:p w14:paraId="1805614A" w14:textId="77777777" w:rsidR="00DA107A" w:rsidRPr="00823808" w:rsidRDefault="00DA107A" w:rsidP="0008386F">
            <w:pPr>
              <w:rPr>
                <w:b/>
                <w:szCs w:val="24"/>
              </w:rPr>
            </w:pPr>
          </w:p>
        </w:tc>
      </w:tr>
      <w:tr w:rsidR="00DA107A" w:rsidRPr="00823808" w14:paraId="2089A8F1" w14:textId="77777777" w:rsidTr="0008386F">
        <w:tc>
          <w:tcPr>
            <w:tcW w:w="4230" w:type="dxa"/>
            <w:shd w:val="clear" w:color="auto" w:fill="auto"/>
          </w:tcPr>
          <w:p w14:paraId="311DA8BD" w14:textId="77777777" w:rsidR="00DA107A" w:rsidRPr="00823808" w:rsidRDefault="00DA107A" w:rsidP="0008386F">
            <w:pPr>
              <w:rPr>
                <w:szCs w:val="24"/>
              </w:rPr>
            </w:pPr>
            <w:r w:rsidRPr="00823808">
              <w:rPr>
                <w:szCs w:val="24"/>
              </w:rPr>
              <w:t>Misrepresenting the availability of access to show or inspect a listed property</w:t>
            </w:r>
          </w:p>
        </w:tc>
        <w:tc>
          <w:tcPr>
            <w:tcW w:w="2790" w:type="dxa"/>
            <w:shd w:val="clear" w:color="auto" w:fill="auto"/>
          </w:tcPr>
          <w:p w14:paraId="59DF254A" w14:textId="77777777" w:rsidR="00DA107A" w:rsidRPr="00823808" w:rsidRDefault="00DA107A" w:rsidP="0008386F">
            <w:pPr>
              <w:rPr>
                <w:szCs w:val="24"/>
              </w:rPr>
            </w:pPr>
            <w:r w:rsidRPr="00823808">
              <w:rPr>
                <w:szCs w:val="24"/>
              </w:rPr>
              <w:t>Article 3, supported by Standard of Practice 3-8</w:t>
            </w:r>
          </w:p>
        </w:tc>
        <w:tc>
          <w:tcPr>
            <w:tcW w:w="1890" w:type="dxa"/>
            <w:shd w:val="clear" w:color="auto" w:fill="auto"/>
          </w:tcPr>
          <w:p w14:paraId="60A65E6C" w14:textId="77777777" w:rsidR="00DA107A" w:rsidRPr="00823808" w:rsidRDefault="00DA107A" w:rsidP="0008386F">
            <w:pPr>
              <w:rPr>
                <w:b/>
                <w:szCs w:val="24"/>
              </w:rPr>
            </w:pPr>
          </w:p>
        </w:tc>
        <w:tc>
          <w:tcPr>
            <w:tcW w:w="2520" w:type="dxa"/>
            <w:shd w:val="clear" w:color="auto" w:fill="auto"/>
          </w:tcPr>
          <w:p w14:paraId="69814D91" w14:textId="77777777" w:rsidR="00DA107A" w:rsidRPr="00823808" w:rsidRDefault="00DA107A" w:rsidP="0008386F">
            <w:pPr>
              <w:rPr>
                <w:b/>
                <w:szCs w:val="24"/>
              </w:rPr>
            </w:pPr>
          </w:p>
        </w:tc>
      </w:tr>
      <w:tr w:rsidR="00DA107A" w:rsidRPr="00823808" w14:paraId="368C900A" w14:textId="77777777" w:rsidTr="0008386F">
        <w:tc>
          <w:tcPr>
            <w:tcW w:w="4230" w:type="dxa"/>
            <w:shd w:val="clear" w:color="auto" w:fill="auto"/>
          </w:tcPr>
          <w:p w14:paraId="5C22E34A" w14:textId="77777777" w:rsidR="00DA107A" w:rsidRPr="00823808" w:rsidRDefault="00DA107A" w:rsidP="0008386F">
            <w:pPr>
              <w:rPr>
                <w:szCs w:val="24"/>
              </w:rPr>
            </w:pPr>
            <w:r w:rsidRPr="00823808">
              <w:rPr>
                <w:szCs w:val="24"/>
              </w:rPr>
              <w:t xml:space="preserve">Providing access to listed property on terms other than those established by the owner or the </w:t>
            </w:r>
            <w:r w:rsidR="004A043C">
              <w:rPr>
                <w:szCs w:val="24"/>
              </w:rPr>
              <w:t>seller</w:t>
            </w:r>
          </w:p>
        </w:tc>
        <w:tc>
          <w:tcPr>
            <w:tcW w:w="2790" w:type="dxa"/>
            <w:shd w:val="clear" w:color="auto" w:fill="auto"/>
          </w:tcPr>
          <w:p w14:paraId="4176817F" w14:textId="77777777" w:rsidR="00DA107A" w:rsidRPr="00823808" w:rsidRDefault="00DA107A" w:rsidP="0008386F">
            <w:pPr>
              <w:rPr>
                <w:szCs w:val="24"/>
              </w:rPr>
            </w:pPr>
            <w:r w:rsidRPr="00823808">
              <w:rPr>
                <w:szCs w:val="24"/>
              </w:rPr>
              <w:t>Article 3, supported by Standard of Practice 3-9</w:t>
            </w:r>
          </w:p>
        </w:tc>
        <w:tc>
          <w:tcPr>
            <w:tcW w:w="1890" w:type="dxa"/>
            <w:shd w:val="clear" w:color="auto" w:fill="auto"/>
          </w:tcPr>
          <w:p w14:paraId="7A52C963" w14:textId="77777777" w:rsidR="00DA107A" w:rsidRPr="00823808" w:rsidRDefault="00DA107A" w:rsidP="0008386F">
            <w:pPr>
              <w:rPr>
                <w:b/>
                <w:szCs w:val="24"/>
              </w:rPr>
            </w:pPr>
          </w:p>
        </w:tc>
        <w:tc>
          <w:tcPr>
            <w:tcW w:w="2520" w:type="dxa"/>
            <w:shd w:val="clear" w:color="auto" w:fill="auto"/>
          </w:tcPr>
          <w:p w14:paraId="5504DC84" w14:textId="77777777" w:rsidR="00DA107A" w:rsidRPr="00823808" w:rsidRDefault="00DA107A" w:rsidP="0008386F">
            <w:pPr>
              <w:rPr>
                <w:b/>
                <w:szCs w:val="24"/>
              </w:rPr>
            </w:pPr>
          </w:p>
        </w:tc>
      </w:tr>
      <w:tr w:rsidR="00DA107A" w:rsidRPr="00823808" w14:paraId="0DAA3594" w14:textId="77777777" w:rsidTr="0008386F">
        <w:tc>
          <w:tcPr>
            <w:tcW w:w="4230" w:type="dxa"/>
            <w:shd w:val="clear" w:color="auto" w:fill="auto"/>
          </w:tcPr>
          <w:p w14:paraId="497EB28A" w14:textId="77777777" w:rsidR="00DA107A" w:rsidRPr="00823808" w:rsidRDefault="00DA107A" w:rsidP="0008386F">
            <w:pPr>
              <w:rPr>
                <w:b/>
                <w:szCs w:val="24"/>
              </w:rPr>
            </w:pPr>
            <w:r w:rsidRPr="00823808">
              <w:rPr>
                <w:b/>
                <w:szCs w:val="24"/>
              </w:rPr>
              <w:t>Article 4</w:t>
            </w:r>
          </w:p>
          <w:p w14:paraId="1C9428FC" w14:textId="77777777" w:rsidR="00DA107A" w:rsidRPr="00823808" w:rsidRDefault="00DA107A" w:rsidP="0008386F">
            <w:pPr>
              <w:rPr>
                <w:b/>
                <w:szCs w:val="24"/>
              </w:rPr>
            </w:pPr>
          </w:p>
        </w:tc>
        <w:tc>
          <w:tcPr>
            <w:tcW w:w="2790" w:type="dxa"/>
            <w:shd w:val="clear" w:color="auto" w:fill="auto"/>
          </w:tcPr>
          <w:p w14:paraId="7AF4FEA5" w14:textId="77777777" w:rsidR="00DA107A" w:rsidRPr="00823808" w:rsidRDefault="00DA107A" w:rsidP="0008386F">
            <w:pPr>
              <w:rPr>
                <w:szCs w:val="24"/>
              </w:rPr>
            </w:pPr>
          </w:p>
        </w:tc>
        <w:tc>
          <w:tcPr>
            <w:tcW w:w="1890" w:type="dxa"/>
            <w:shd w:val="clear" w:color="auto" w:fill="auto"/>
          </w:tcPr>
          <w:p w14:paraId="23D9FB80" w14:textId="77777777" w:rsidR="00DA107A" w:rsidRPr="00823808" w:rsidRDefault="00DA107A" w:rsidP="0008386F">
            <w:pPr>
              <w:rPr>
                <w:b/>
                <w:szCs w:val="24"/>
              </w:rPr>
            </w:pPr>
          </w:p>
        </w:tc>
        <w:tc>
          <w:tcPr>
            <w:tcW w:w="2520" w:type="dxa"/>
            <w:shd w:val="clear" w:color="auto" w:fill="auto"/>
          </w:tcPr>
          <w:p w14:paraId="7C922534" w14:textId="77777777" w:rsidR="00DA107A" w:rsidRPr="00823808" w:rsidRDefault="00DA107A" w:rsidP="0008386F">
            <w:pPr>
              <w:rPr>
                <w:b/>
                <w:szCs w:val="24"/>
              </w:rPr>
            </w:pPr>
          </w:p>
        </w:tc>
      </w:tr>
      <w:tr w:rsidR="00DA107A" w:rsidRPr="00823808" w14:paraId="56B11927" w14:textId="77777777" w:rsidTr="0008386F">
        <w:tc>
          <w:tcPr>
            <w:tcW w:w="4230" w:type="dxa"/>
            <w:shd w:val="clear" w:color="auto" w:fill="auto"/>
          </w:tcPr>
          <w:p w14:paraId="55D621A4" w14:textId="4F9AA8F3" w:rsidR="00DA107A" w:rsidRPr="00823808" w:rsidRDefault="00DA107A" w:rsidP="0008386F">
            <w:pPr>
              <w:rPr>
                <w:szCs w:val="24"/>
              </w:rPr>
            </w:pPr>
            <w:r w:rsidRPr="00823808">
              <w:rPr>
                <w:szCs w:val="24"/>
              </w:rPr>
              <w:t>Failing to disclose REALTOR</w:t>
            </w:r>
            <w:r w:rsidRPr="005A32CA">
              <w:rPr>
                <w:szCs w:val="24"/>
                <w:vertAlign w:val="superscript"/>
              </w:rPr>
              <w:t>®</w:t>
            </w:r>
            <w:r w:rsidRPr="00823808">
              <w:rPr>
                <w:szCs w:val="24"/>
              </w:rPr>
              <w:t xml:space="preserve">’s </w:t>
            </w:r>
            <w:r w:rsidR="0083666E">
              <w:rPr>
                <w:szCs w:val="24"/>
              </w:rPr>
              <w:t xml:space="preserve">present or contemplated </w:t>
            </w:r>
            <w:r w:rsidRPr="00823808">
              <w:rPr>
                <w:szCs w:val="24"/>
              </w:rPr>
              <w:t xml:space="preserve">interest in writing to </w:t>
            </w:r>
            <w:r w:rsidR="0083666E">
              <w:rPr>
                <w:szCs w:val="24"/>
              </w:rPr>
              <w:t>all parties to the transaction.</w:t>
            </w:r>
          </w:p>
          <w:p w14:paraId="12D5773C" w14:textId="77777777" w:rsidR="00DA107A" w:rsidRPr="00823808" w:rsidRDefault="00DA107A" w:rsidP="0008386F">
            <w:pPr>
              <w:rPr>
                <w:szCs w:val="24"/>
              </w:rPr>
            </w:pPr>
          </w:p>
        </w:tc>
        <w:tc>
          <w:tcPr>
            <w:tcW w:w="2790" w:type="dxa"/>
            <w:shd w:val="clear" w:color="auto" w:fill="auto"/>
          </w:tcPr>
          <w:p w14:paraId="224BE66E" w14:textId="629FAA24" w:rsidR="00DA107A" w:rsidRPr="00823808" w:rsidRDefault="00DA107A" w:rsidP="0008386F">
            <w:pPr>
              <w:rPr>
                <w:szCs w:val="24"/>
              </w:rPr>
            </w:pPr>
            <w:r w:rsidRPr="00823808">
              <w:rPr>
                <w:szCs w:val="24"/>
              </w:rPr>
              <w:t xml:space="preserve">Article 4 </w:t>
            </w:r>
          </w:p>
        </w:tc>
        <w:tc>
          <w:tcPr>
            <w:tcW w:w="1890" w:type="dxa"/>
            <w:shd w:val="clear" w:color="auto" w:fill="auto"/>
          </w:tcPr>
          <w:p w14:paraId="54D3D530" w14:textId="77777777" w:rsidR="00DA107A" w:rsidRPr="00823808" w:rsidRDefault="00DA107A" w:rsidP="0008386F">
            <w:pPr>
              <w:rPr>
                <w:b/>
                <w:szCs w:val="24"/>
              </w:rPr>
            </w:pPr>
          </w:p>
        </w:tc>
        <w:tc>
          <w:tcPr>
            <w:tcW w:w="2520" w:type="dxa"/>
            <w:shd w:val="clear" w:color="auto" w:fill="auto"/>
          </w:tcPr>
          <w:p w14:paraId="5DA67A5D" w14:textId="77777777" w:rsidR="00DA107A" w:rsidRPr="00823808" w:rsidRDefault="00DA107A" w:rsidP="0008386F">
            <w:pPr>
              <w:rPr>
                <w:b/>
                <w:szCs w:val="24"/>
              </w:rPr>
            </w:pPr>
          </w:p>
        </w:tc>
      </w:tr>
      <w:tr w:rsidR="00DA107A" w:rsidRPr="00823808" w14:paraId="0603F5C7" w14:textId="77777777" w:rsidTr="0008386F">
        <w:tc>
          <w:tcPr>
            <w:tcW w:w="4230" w:type="dxa"/>
            <w:shd w:val="clear" w:color="auto" w:fill="auto"/>
          </w:tcPr>
          <w:p w14:paraId="631EBF10" w14:textId="77777777" w:rsidR="00DA107A" w:rsidRPr="00823808" w:rsidRDefault="00DA107A" w:rsidP="0008386F">
            <w:pPr>
              <w:rPr>
                <w:b/>
                <w:szCs w:val="24"/>
              </w:rPr>
            </w:pPr>
            <w:r w:rsidRPr="00823808">
              <w:rPr>
                <w:b/>
                <w:szCs w:val="24"/>
              </w:rPr>
              <w:t>Article 5</w:t>
            </w:r>
          </w:p>
          <w:p w14:paraId="2D94B71C" w14:textId="77777777" w:rsidR="00DA107A" w:rsidRPr="00823808" w:rsidRDefault="00DA107A" w:rsidP="0008386F">
            <w:pPr>
              <w:rPr>
                <w:b/>
                <w:szCs w:val="24"/>
              </w:rPr>
            </w:pPr>
          </w:p>
        </w:tc>
        <w:tc>
          <w:tcPr>
            <w:tcW w:w="2790" w:type="dxa"/>
            <w:shd w:val="clear" w:color="auto" w:fill="auto"/>
          </w:tcPr>
          <w:p w14:paraId="3D416F09" w14:textId="77777777" w:rsidR="00DA107A" w:rsidRPr="00823808" w:rsidRDefault="00DA107A" w:rsidP="0008386F">
            <w:pPr>
              <w:rPr>
                <w:szCs w:val="24"/>
              </w:rPr>
            </w:pPr>
          </w:p>
        </w:tc>
        <w:tc>
          <w:tcPr>
            <w:tcW w:w="1890" w:type="dxa"/>
            <w:shd w:val="clear" w:color="auto" w:fill="auto"/>
          </w:tcPr>
          <w:p w14:paraId="124D7926" w14:textId="77777777" w:rsidR="00DA107A" w:rsidRPr="00823808" w:rsidRDefault="00DA107A" w:rsidP="0008386F">
            <w:pPr>
              <w:rPr>
                <w:b/>
                <w:szCs w:val="24"/>
              </w:rPr>
            </w:pPr>
          </w:p>
        </w:tc>
        <w:tc>
          <w:tcPr>
            <w:tcW w:w="2520" w:type="dxa"/>
            <w:shd w:val="clear" w:color="auto" w:fill="auto"/>
          </w:tcPr>
          <w:p w14:paraId="412D6838" w14:textId="77777777" w:rsidR="00DA107A" w:rsidRPr="00823808" w:rsidRDefault="00DA107A" w:rsidP="0008386F">
            <w:pPr>
              <w:rPr>
                <w:b/>
                <w:szCs w:val="24"/>
              </w:rPr>
            </w:pPr>
          </w:p>
        </w:tc>
      </w:tr>
      <w:tr w:rsidR="00DA107A" w:rsidRPr="00823808" w14:paraId="66E87102" w14:textId="77777777" w:rsidTr="0008386F">
        <w:tc>
          <w:tcPr>
            <w:tcW w:w="4230" w:type="dxa"/>
            <w:shd w:val="clear" w:color="auto" w:fill="auto"/>
          </w:tcPr>
          <w:p w14:paraId="60F88711" w14:textId="77777777" w:rsidR="00DA107A" w:rsidRPr="00823808" w:rsidRDefault="00DA107A" w:rsidP="0008386F">
            <w:pPr>
              <w:rPr>
                <w:szCs w:val="24"/>
              </w:rPr>
            </w:pPr>
            <w:r w:rsidRPr="00823808">
              <w:rPr>
                <w:szCs w:val="24"/>
              </w:rPr>
              <w:t>Providing professional services without disclosing REALTOR</w:t>
            </w:r>
            <w:r w:rsidRPr="005A32CA">
              <w:rPr>
                <w:szCs w:val="24"/>
                <w:vertAlign w:val="superscript"/>
              </w:rPr>
              <w:t>®</w:t>
            </w:r>
            <w:r w:rsidRPr="00823808">
              <w:rPr>
                <w:szCs w:val="24"/>
              </w:rPr>
              <w:t>’s present interest in property</w:t>
            </w:r>
          </w:p>
          <w:p w14:paraId="396284B9" w14:textId="77777777" w:rsidR="00DA107A" w:rsidRPr="00823808" w:rsidRDefault="00DA107A" w:rsidP="0008386F">
            <w:pPr>
              <w:rPr>
                <w:szCs w:val="24"/>
              </w:rPr>
            </w:pPr>
          </w:p>
        </w:tc>
        <w:tc>
          <w:tcPr>
            <w:tcW w:w="2790" w:type="dxa"/>
            <w:shd w:val="clear" w:color="auto" w:fill="auto"/>
          </w:tcPr>
          <w:p w14:paraId="138A761E" w14:textId="77777777" w:rsidR="00DA107A" w:rsidRPr="00823808" w:rsidRDefault="00DA107A" w:rsidP="0008386F">
            <w:pPr>
              <w:rPr>
                <w:szCs w:val="24"/>
              </w:rPr>
            </w:pPr>
            <w:r w:rsidRPr="00823808">
              <w:rPr>
                <w:szCs w:val="24"/>
              </w:rPr>
              <w:t>Article 5 (limited to present interest, not contemplated)</w:t>
            </w:r>
          </w:p>
        </w:tc>
        <w:tc>
          <w:tcPr>
            <w:tcW w:w="1890" w:type="dxa"/>
            <w:shd w:val="clear" w:color="auto" w:fill="auto"/>
          </w:tcPr>
          <w:p w14:paraId="41E20642" w14:textId="77777777" w:rsidR="00DA107A" w:rsidRPr="00823808" w:rsidRDefault="00DA107A" w:rsidP="0008386F">
            <w:pPr>
              <w:rPr>
                <w:b/>
                <w:szCs w:val="24"/>
              </w:rPr>
            </w:pPr>
          </w:p>
        </w:tc>
        <w:tc>
          <w:tcPr>
            <w:tcW w:w="2520" w:type="dxa"/>
            <w:shd w:val="clear" w:color="auto" w:fill="auto"/>
          </w:tcPr>
          <w:p w14:paraId="1716F602" w14:textId="77777777" w:rsidR="00DA107A" w:rsidRPr="00823808" w:rsidRDefault="00DA107A" w:rsidP="0008386F">
            <w:pPr>
              <w:rPr>
                <w:b/>
                <w:szCs w:val="24"/>
              </w:rPr>
            </w:pPr>
          </w:p>
        </w:tc>
      </w:tr>
      <w:tr w:rsidR="00DA107A" w:rsidRPr="00823808" w14:paraId="136AE218" w14:textId="77777777" w:rsidTr="0008386F">
        <w:tc>
          <w:tcPr>
            <w:tcW w:w="4230" w:type="dxa"/>
            <w:shd w:val="clear" w:color="auto" w:fill="auto"/>
          </w:tcPr>
          <w:p w14:paraId="7E444219" w14:textId="77777777" w:rsidR="00DA107A" w:rsidRPr="00823808" w:rsidRDefault="00DA107A" w:rsidP="0008386F">
            <w:pPr>
              <w:rPr>
                <w:b/>
                <w:szCs w:val="24"/>
              </w:rPr>
            </w:pPr>
            <w:r w:rsidRPr="00823808">
              <w:rPr>
                <w:b/>
                <w:szCs w:val="24"/>
              </w:rPr>
              <w:t>Article 6</w:t>
            </w:r>
          </w:p>
          <w:p w14:paraId="1BA8BA43" w14:textId="77777777" w:rsidR="00DA107A" w:rsidRPr="00823808" w:rsidRDefault="00DA107A" w:rsidP="0008386F">
            <w:pPr>
              <w:rPr>
                <w:b/>
                <w:szCs w:val="24"/>
              </w:rPr>
            </w:pPr>
          </w:p>
        </w:tc>
        <w:tc>
          <w:tcPr>
            <w:tcW w:w="2790" w:type="dxa"/>
            <w:shd w:val="clear" w:color="auto" w:fill="auto"/>
          </w:tcPr>
          <w:p w14:paraId="32FE5583" w14:textId="77777777" w:rsidR="00DA107A" w:rsidRPr="00823808" w:rsidRDefault="00DA107A" w:rsidP="0008386F">
            <w:pPr>
              <w:rPr>
                <w:szCs w:val="24"/>
              </w:rPr>
            </w:pPr>
          </w:p>
        </w:tc>
        <w:tc>
          <w:tcPr>
            <w:tcW w:w="1890" w:type="dxa"/>
            <w:shd w:val="clear" w:color="auto" w:fill="auto"/>
          </w:tcPr>
          <w:p w14:paraId="62234CC4" w14:textId="77777777" w:rsidR="00DA107A" w:rsidRPr="00823808" w:rsidRDefault="00DA107A" w:rsidP="0008386F">
            <w:pPr>
              <w:rPr>
                <w:b/>
                <w:szCs w:val="24"/>
              </w:rPr>
            </w:pPr>
          </w:p>
        </w:tc>
        <w:tc>
          <w:tcPr>
            <w:tcW w:w="2520" w:type="dxa"/>
            <w:shd w:val="clear" w:color="auto" w:fill="auto"/>
          </w:tcPr>
          <w:p w14:paraId="7F44F4A9" w14:textId="77777777" w:rsidR="00DA107A" w:rsidRPr="00823808" w:rsidRDefault="00DA107A" w:rsidP="0008386F">
            <w:pPr>
              <w:rPr>
                <w:b/>
                <w:szCs w:val="24"/>
              </w:rPr>
            </w:pPr>
          </w:p>
        </w:tc>
      </w:tr>
      <w:tr w:rsidR="00DA107A" w:rsidRPr="00823808" w14:paraId="5D908780" w14:textId="77777777" w:rsidTr="0008386F">
        <w:tc>
          <w:tcPr>
            <w:tcW w:w="4230" w:type="dxa"/>
            <w:shd w:val="clear" w:color="auto" w:fill="auto"/>
          </w:tcPr>
          <w:p w14:paraId="06707F60" w14:textId="77777777" w:rsidR="00DA107A" w:rsidRPr="00823808" w:rsidRDefault="00DA107A" w:rsidP="0008386F">
            <w:pPr>
              <w:rPr>
                <w:szCs w:val="24"/>
              </w:rPr>
            </w:pPr>
            <w:r w:rsidRPr="00823808">
              <w:rPr>
                <w:szCs w:val="24"/>
              </w:rPr>
              <w:t xml:space="preserve">Accepting any commission, rebate, or profit on expenditures without client’s knowledge or consent </w:t>
            </w:r>
          </w:p>
        </w:tc>
        <w:tc>
          <w:tcPr>
            <w:tcW w:w="2790" w:type="dxa"/>
            <w:shd w:val="clear" w:color="auto" w:fill="auto"/>
          </w:tcPr>
          <w:p w14:paraId="24D33262" w14:textId="77777777" w:rsidR="00DA107A" w:rsidRPr="00823808" w:rsidRDefault="00DA107A" w:rsidP="0008386F">
            <w:pPr>
              <w:rPr>
                <w:szCs w:val="24"/>
              </w:rPr>
            </w:pPr>
            <w:r w:rsidRPr="00823808">
              <w:rPr>
                <w:szCs w:val="24"/>
              </w:rPr>
              <w:t>Article 6 (first paragraph)</w:t>
            </w:r>
          </w:p>
        </w:tc>
        <w:tc>
          <w:tcPr>
            <w:tcW w:w="1890" w:type="dxa"/>
            <w:shd w:val="clear" w:color="auto" w:fill="auto"/>
          </w:tcPr>
          <w:p w14:paraId="5540AF65" w14:textId="77777777" w:rsidR="00DA107A" w:rsidRPr="00823808" w:rsidRDefault="00DA107A" w:rsidP="0008386F">
            <w:pPr>
              <w:rPr>
                <w:b/>
                <w:szCs w:val="24"/>
              </w:rPr>
            </w:pPr>
          </w:p>
        </w:tc>
        <w:tc>
          <w:tcPr>
            <w:tcW w:w="2520" w:type="dxa"/>
            <w:shd w:val="clear" w:color="auto" w:fill="auto"/>
          </w:tcPr>
          <w:p w14:paraId="2D958EB5" w14:textId="77777777" w:rsidR="00DA107A" w:rsidRPr="00823808" w:rsidRDefault="00DA107A" w:rsidP="0008386F">
            <w:pPr>
              <w:rPr>
                <w:b/>
                <w:szCs w:val="24"/>
              </w:rPr>
            </w:pPr>
          </w:p>
        </w:tc>
      </w:tr>
      <w:tr w:rsidR="00DA107A" w:rsidRPr="00823808" w14:paraId="4BD04AD4" w14:textId="77777777" w:rsidTr="0008386F">
        <w:tc>
          <w:tcPr>
            <w:tcW w:w="4230" w:type="dxa"/>
            <w:shd w:val="clear" w:color="auto" w:fill="auto"/>
          </w:tcPr>
          <w:p w14:paraId="0CAB19DC" w14:textId="77777777" w:rsidR="00DA107A" w:rsidRPr="00823808" w:rsidRDefault="00DA107A" w:rsidP="0008386F">
            <w:pPr>
              <w:rPr>
                <w:szCs w:val="24"/>
              </w:rPr>
            </w:pPr>
            <w:r w:rsidRPr="00823808">
              <w:rPr>
                <w:szCs w:val="24"/>
              </w:rPr>
              <w:t>Failure to disclose to a client or customer REALTOR</w:t>
            </w:r>
            <w:r w:rsidRPr="005A32CA">
              <w:rPr>
                <w:szCs w:val="24"/>
                <w:vertAlign w:val="superscript"/>
              </w:rPr>
              <w:t>®</w:t>
            </w:r>
            <w:r w:rsidRPr="00823808">
              <w:rPr>
                <w:szCs w:val="24"/>
              </w:rPr>
              <w:t xml:space="preserve">’s financial benefits or fees received as a direct result of recommending real estate products or </w:t>
            </w:r>
            <w:r w:rsidRPr="00823808">
              <w:rPr>
                <w:szCs w:val="24"/>
              </w:rPr>
              <w:lastRenderedPageBreak/>
              <w:t>services</w:t>
            </w:r>
          </w:p>
        </w:tc>
        <w:tc>
          <w:tcPr>
            <w:tcW w:w="2790" w:type="dxa"/>
            <w:shd w:val="clear" w:color="auto" w:fill="auto"/>
          </w:tcPr>
          <w:p w14:paraId="1B0BD707" w14:textId="77777777" w:rsidR="00DA107A" w:rsidRPr="00823808" w:rsidRDefault="00DA107A" w:rsidP="0008386F">
            <w:pPr>
              <w:rPr>
                <w:szCs w:val="24"/>
              </w:rPr>
            </w:pPr>
            <w:r w:rsidRPr="00823808">
              <w:rPr>
                <w:szCs w:val="24"/>
              </w:rPr>
              <w:lastRenderedPageBreak/>
              <w:t>Article 6 (second paragraph)</w:t>
            </w:r>
          </w:p>
        </w:tc>
        <w:tc>
          <w:tcPr>
            <w:tcW w:w="1890" w:type="dxa"/>
            <w:shd w:val="clear" w:color="auto" w:fill="auto"/>
          </w:tcPr>
          <w:p w14:paraId="3044F3AC" w14:textId="77777777" w:rsidR="00DA107A" w:rsidRPr="00823808" w:rsidRDefault="00DA107A" w:rsidP="0008386F">
            <w:pPr>
              <w:rPr>
                <w:b/>
                <w:szCs w:val="24"/>
              </w:rPr>
            </w:pPr>
          </w:p>
        </w:tc>
        <w:tc>
          <w:tcPr>
            <w:tcW w:w="2520" w:type="dxa"/>
            <w:shd w:val="clear" w:color="auto" w:fill="auto"/>
          </w:tcPr>
          <w:p w14:paraId="6044D5F0" w14:textId="77777777" w:rsidR="00DA107A" w:rsidRPr="00823808" w:rsidRDefault="00DA107A" w:rsidP="0008386F">
            <w:pPr>
              <w:rPr>
                <w:b/>
                <w:szCs w:val="24"/>
              </w:rPr>
            </w:pPr>
          </w:p>
        </w:tc>
      </w:tr>
      <w:tr w:rsidR="00DA107A" w:rsidRPr="00823808" w14:paraId="55D1EB84" w14:textId="77777777" w:rsidTr="0008386F">
        <w:tc>
          <w:tcPr>
            <w:tcW w:w="4230" w:type="dxa"/>
            <w:shd w:val="clear" w:color="auto" w:fill="auto"/>
          </w:tcPr>
          <w:p w14:paraId="10D37D69" w14:textId="77777777" w:rsidR="00DA107A" w:rsidRPr="00823808" w:rsidRDefault="00DA107A" w:rsidP="0008386F">
            <w:pPr>
              <w:rPr>
                <w:szCs w:val="24"/>
              </w:rPr>
            </w:pPr>
            <w:r w:rsidRPr="00823808">
              <w:rPr>
                <w:szCs w:val="24"/>
              </w:rPr>
              <w:t>Failure to disclose REALTOR</w:t>
            </w:r>
            <w:r w:rsidRPr="005A32CA">
              <w:rPr>
                <w:szCs w:val="24"/>
                <w:vertAlign w:val="superscript"/>
              </w:rPr>
              <w:t>®</w:t>
            </w:r>
            <w:r w:rsidRPr="00823808">
              <w:rPr>
                <w:szCs w:val="24"/>
              </w:rPr>
              <w:t xml:space="preserve">’s direct interest in an organization or business entity when recommending to a client or customer that they use the services of </w:t>
            </w:r>
            <w:proofErr w:type="gramStart"/>
            <w:r w:rsidRPr="00823808">
              <w:rPr>
                <w:szCs w:val="24"/>
              </w:rPr>
              <w:t>that  organization</w:t>
            </w:r>
            <w:proofErr w:type="gramEnd"/>
            <w:r w:rsidRPr="00823808">
              <w:rPr>
                <w:szCs w:val="24"/>
              </w:rPr>
              <w:t xml:space="preserve"> or business entity</w:t>
            </w:r>
          </w:p>
        </w:tc>
        <w:tc>
          <w:tcPr>
            <w:tcW w:w="2790" w:type="dxa"/>
            <w:shd w:val="clear" w:color="auto" w:fill="auto"/>
          </w:tcPr>
          <w:p w14:paraId="1C7EE92F" w14:textId="77777777" w:rsidR="00DA107A" w:rsidRPr="00823808" w:rsidRDefault="00DA107A" w:rsidP="0008386F">
            <w:pPr>
              <w:rPr>
                <w:szCs w:val="24"/>
              </w:rPr>
            </w:pPr>
            <w:r w:rsidRPr="00823808">
              <w:rPr>
                <w:szCs w:val="24"/>
              </w:rPr>
              <w:t>Article 6, supported by Standard of Practice 6-1</w:t>
            </w:r>
          </w:p>
        </w:tc>
        <w:tc>
          <w:tcPr>
            <w:tcW w:w="1890" w:type="dxa"/>
            <w:shd w:val="clear" w:color="auto" w:fill="auto"/>
          </w:tcPr>
          <w:p w14:paraId="4BC460DA" w14:textId="77777777" w:rsidR="00DA107A" w:rsidRPr="00823808" w:rsidRDefault="00DA107A" w:rsidP="0008386F">
            <w:pPr>
              <w:rPr>
                <w:b/>
                <w:szCs w:val="24"/>
              </w:rPr>
            </w:pPr>
          </w:p>
        </w:tc>
        <w:tc>
          <w:tcPr>
            <w:tcW w:w="2520" w:type="dxa"/>
            <w:shd w:val="clear" w:color="auto" w:fill="auto"/>
          </w:tcPr>
          <w:p w14:paraId="47C46E8D" w14:textId="77777777" w:rsidR="00DA107A" w:rsidRPr="00823808" w:rsidRDefault="00DA107A" w:rsidP="0008386F">
            <w:pPr>
              <w:rPr>
                <w:b/>
                <w:szCs w:val="24"/>
              </w:rPr>
            </w:pPr>
          </w:p>
        </w:tc>
      </w:tr>
      <w:tr w:rsidR="00DA107A" w:rsidRPr="00823808" w14:paraId="0F8665C4" w14:textId="77777777" w:rsidTr="0008386F">
        <w:tc>
          <w:tcPr>
            <w:tcW w:w="4230" w:type="dxa"/>
            <w:shd w:val="clear" w:color="auto" w:fill="auto"/>
          </w:tcPr>
          <w:p w14:paraId="71450E0D" w14:textId="77777777" w:rsidR="00DA107A" w:rsidRPr="00823808" w:rsidRDefault="00DA107A" w:rsidP="0008386F">
            <w:pPr>
              <w:rPr>
                <w:b/>
                <w:szCs w:val="24"/>
              </w:rPr>
            </w:pPr>
            <w:r w:rsidRPr="00823808">
              <w:rPr>
                <w:b/>
                <w:szCs w:val="24"/>
              </w:rPr>
              <w:t>Article 12</w:t>
            </w:r>
          </w:p>
          <w:p w14:paraId="01390688" w14:textId="77777777" w:rsidR="00DA107A" w:rsidRPr="00823808" w:rsidRDefault="00DA107A" w:rsidP="0008386F">
            <w:pPr>
              <w:rPr>
                <w:b/>
                <w:szCs w:val="24"/>
              </w:rPr>
            </w:pPr>
          </w:p>
        </w:tc>
        <w:tc>
          <w:tcPr>
            <w:tcW w:w="2790" w:type="dxa"/>
            <w:shd w:val="clear" w:color="auto" w:fill="auto"/>
          </w:tcPr>
          <w:p w14:paraId="03BC41FD" w14:textId="77777777" w:rsidR="00DA107A" w:rsidRPr="00823808" w:rsidRDefault="00DA107A" w:rsidP="0008386F">
            <w:pPr>
              <w:rPr>
                <w:szCs w:val="24"/>
              </w:rPr>
            </w:pPr>
          </w:p>
        </w:tc>
        <w:tc>
          <w:tcPr>
            <w:tcW w:w="1890" w:type="dxa"/>
            <w:shd w:val="clear" w:color="auto" w:fill="auto"/>
          </w:tcPr>
          <w:p w14:paraId="683C2B53" w14:textId="77777777" w:rsidR="00DA107A" w:rsidRPr="00823808" w:rsidRDefault="00DA107A" w:rsidP="0008386F">
            <w:pPr>
              <w:rPr>
                <w:b/>
                <w:szCs w:val="24"/>
              </w:rPr>
            </w:pPr>
          </w:p>
        </w:tc>
        <w:tc>
          <w:tcPr>
            <w:tcW w:w="2520" w:type="dxa"/>
            <w:shd w:val="clear" w:color="auto" w:fill="auto"/>
          </w:tcPr>
          <w:p w14:paraId="6756FF20" w14:textId="77777777" w:rsidR="00DA107A" w:rsidRPr="00823808" w:rsidRDefault="00DA107A" w:rsidP="0008386F">
            <w:pPr>
              <w:rPr>
                <w:b/>
                <w:szCs w:val="24"/>
              </w:rPr>
            </w:pPr>
          </w:p>
        </w:tc>
      </w:tr>
      <w:tr w:rsidR="00DA107A" w:rsidRPr="00823808" w14:paraId="65F97F76" w14:textId="77777777" w:rsidTr="0008386F">
        <w:tc>
          <w:tcPr>
            <w:tcW w:w="4230" w:type="dxa"/>
            <w:shd w:val="clear" w:color="auto" w:fill="auto"/>
          </w:tcPr>
          <w:p w14:paraId="31FABC56" w14:textId="77777777" w:rsidR="00DA107A" w:rsidRPr="00823808" w:rsidRDefault="00DA107A" w:rsidP="0008386F">
            <w:pPr>
              <w:rPr>
                <w:szCs w:val="24"/>
              </w:rPr>
            </w:pPr>
            <w:r w:rsidRPr="00823808">
              <w:rPr>
                <w:szCs w:val="24"/>
              </w:rPr>
              <w:t>Failing to present a true picture in real estate communications and advertising</w:t>
            </w:r>
          </w:p>
        </w:tc>
        <w:tc>
          <w:tcPr>
            <w:tcW w:w="2790" w:type="dxa"/>
            <w:shd w:val="clear" w:color="auto" w:fill="auto"/>
          </w:tcPr>
          <w:p w14:paraId="7B18088E" w14:textId="77777777" w:rsidR="00DA107A" w:rsidRPr="00823808" w:rsidRDefault="00DA107A" w:rsidP="0008386F">
            <w:pPr>
              <w:rPr>
                <w:szCs w:val="24"/>
              </w:rPr>
            </w:pPr>
            <w:r w:rsidRPr="00823808">
              <w:rPr>
                <w:szCs w:val="24"/>
              </w:rPr>
              <w:t>Article 12</w:t>
            </w:r>
          </w:p>
        </w:tc>
        <w:tc>
          <w:tcPr>
            <w:tcW w:w="1890" w:type="dxa"/>
            <w:shd w:val="clear" w:color="auto" w:fill="auto"/>
          </w:tcPr>
          <w:p w14:paraId="640D1D34" w14:textId="77777777" w:rsidR="00DA107A" w:rsidRPr="00823808" w:rsidRDefault="00DA107A" w:rsidP="0008386F">
            <w:pPr>
              <w:rPr>
                <w:b/>
                <w:szCs w:val="24"/>
              </w:rPr>
            </w:pPr>
          </w:p>
        </w:tc>
        <w:tc>
          <w:tcPr>
            <w:tcW w:w="2520" w:type="dxa"/>
            <w:shd w:val="clear" w:color="auto" w:fill="auto"/>
          </w:tcPr>
          <w:p w14:paraId="66264A33" w14:textId="77777777" w:rsidR="00DA107A" w:rsidRPr="00823808" w:rsidRDefault="00DA107A" w:rsidP="0008386F">
            <w:pPr>
              <w:rPr>
                <w:b/>
                <w:szCs w:val="24"/>
              </w:rPr>
            </w:pPr>
          </w:p>
        </w:tc>
      </w:tr>
      <w:tr w:rsidR="00DA107A" w:rsidRPr="00823808" w14:paraId="23A9C135" w14:textId="77777777" w:rsidTr="0008386F">
        <w:tc>
          <w:tcPr>
            <w:tcW w:w="4230" w:type="dxa"/>
            <w:shd w:val="clear" w:color="auto" w:fill="auto"/>
          </w:tcPr>
          <w:p w14:paraId="2F9BB227" w14:textId="77777777" w:rsidR="00DA107A" w:rsidRPr="00823808" w:rsidRDefault="00DA107A" w:rsidP="0008386F">
            <w:pPr>
              <w:rPr>
                <w:szCs w:val="24"/>
              </w:rPr>
            </w:pPr>
            <w:r w:rsidRPr="00823808">
              <w:rPr>
                <w:szCs w:val="24"/>
              </w:rPr>
              <w:t>Failing to disclose status as real estate professional in advertising and other representations</w:t>
            </w:r>
          </w:p>
        </w:tc>
        <w:tc>
          <w:tcPr>
            <w:tcW w:w="2790" w:type="dxa"/>
            <w:shd w:val="clear" w:color="auto" w:fill="auto"/>
          </w:tcPr>
          <w:p w14:paraId="030E454F" w14:textId="77777777" w:rsidR="00DA107A" w:rsidRPr="00823808" w:rsidRDefault="00DA107A" w:rsidP="0008386F">
            <w:pPr>
              <w:rPr>
                <w:szCs w:val="24"/>
              </w:rPr>
            </w:pPr>
            <w:r w:rsidRPr="00823808">
              <w:rPr>
                <w:szCs w:val="24"/>
              </w:rPr>
              <w:t>Article 12</w:t>
            </w:r>
          </w:p>
        </w:tc>
        <w:tc>
          <w:tcPr>
            <w:tcW w:w="1890" w:type="dxa"/>
            <w:shd w:val="clear" w:color="auto" w:fill="auto"/>
          </w:tcPr>
          <w:p w14:paraId="55859195" w14:textId="77777777" w:rsidR="00DA107A" w:rsidRPr="00823808" w:rsidRDefault="00DA107A" w:rsidP="0008386F">
            <w:pPr>
              <w:rPr>
                <w:b/>
                <w:szCs w:val="24"/>
              </w:rPr>
            </w:pPr>
          </w:p>
        </w:tc>
        <w:tc>
          <w:tcPr>
            <w:tcW w:w="2520" w:type="dxa"/>
            <w:shd w:val="clear" w:color="auto" w:fill="auto"/>
          </w:tcPr>
          <w:p w14:paraId="002EEF94" w14:textId="77777777" w:rsidR="00DA107A" w:rsidRPr="00823808" w:rsidRDefault="00DA107A" w:rsidP="0008386F">
            <w:pPr>
              <w:rPr>
                <w:b/>
                <w:szCs w:val="24"/>
              </w:rPr>
            </w:pPr>
          </w:p>
        </w:tc>
      </w:tr>
      <w:tr w:rsidR="00DA107A" w:rsidRPr="00823808" w14:paraId="2850B826" w14:textId="77777777" w:rsidTr="0008386F">
        <w:tc>
          <w:tcPr>
            <w:tcW w:w="4230" w:type="dxa"/>
            <w:shd w:val="clear" w:color="auto" w:fill="auto"/>
          </w:tcPr>
          <w:p w14:paraId="4265C9D3" w14:textId="77777777" w:rsidR="00DA107A" w:rsidRPr="00823808" w:rsidRDefault="00A63ABD" w:rsidP="00A63ABD">
            <w:pPr>
              <w:rPr>
                <w:szCs w:val="24"/>
              </w:rPr>
            </w:pPr>
            <w:r w:rsidRPr="00A63ABD">
              <w:t>Representing brokerage services to a client or customer as free or available at no cost when the REALTOR® receives compensation from any source for those services</w:t>
            </w:r>
          </w:p>
        </w:tc>
        <w:tc>
          <w:tcPr>
            <w:tcW w:w="2790" w:type="dxa"/>
            <w:shd w:val="clear" w:color="auto" w:fill="auto"/>
          </w:tcPr>
          <w:p w14:paraId="55FC7506" w14:textId="77777777" w:rsidR="00DA107A" w:rsidRPr="00823808" w:rsidRDefault="00DA107A" w:rsidP="0008386F">
            <w:pPr>
              <w:rPr>
                <w:szCs w:val="24"/>
              </w:rPr>
            </w:pPr>
            <w:r w:rsidRPr="00823808">
              <w:rPr>
                <w:szCs w:val="24"/>
              </w:rPr>
              <w:t>Article 12, supported by Standard of Practice 12-1</w:t>
            </w:r>
          </w:p>
        </w:tc>
        <w:tc>
          <w:tcPr>
            <w:tcW w:w="1890" w:type="dxa"/>
            <w:shd w:val="clear" w:color="auto" w:fill="auto"/>
          </w:tcPr>
          <w:p w14:paraId="51224B0F" w14:textId="77777777" w:rsidR="00DA107A" w:rsidRPr="00823808" w:rsidRDefault="00DA107A" w:rsidP="0008386F">
            <w:pPr>
              <w:rPr>
                <w:b/>
                <w:szCs w:val="24"/>
              </w:rPr>
            </w:pPr>
          </w:p>
        </w:tc>
        <w:tc>
          <w:tcPr>
            <w:tcW w:w="2520" w:type="dxa"/>
            <w:shd w:val="clear" w:color="auto" w:fill="auto"/>
          </w:tcPr>
          <w:p w14:paraId="2BA65D29" w14:textId="77777777" w:rsidR="00DA107A" w:rsidRPr="00823808" w:rsidRDefault="00DA107A" w:rsidP="0008386F">
            <w:pPr>
              <w:rPr>
                <w:b/>
                <w:szCs w:val="24"/>
              </w:rPr>
            </w:pPr>
          </w:p>
        </w:tc>
      </w:tr>
      <w:tr w:rsidR="00DA107A" w:rsidRPr="00823808" w14:paraId="2D849197" w14:textId="77777777" w:rsidTr="0008386F">
        <w:tc>
          <w:tcPr>
            <w:tcW w:w="4230" w:type="dxa"/>
            <w:shd w:val="clear" w:color="auto" w:fill="auto"/>
          </w:tcPr>
          <w:p w14:paraId="3BB563DE" w14:textId="77777777" w:rsidR="00DA107A" w:rsidRPr="00823808" w:rsidRDefault="00DA107A" w:rsidP="0008386F">
            <w:pPr>
              <w:rPr>
                <w:szCs w:val="24"/>
              </w:rPr>
            </w:pPr>
            <w:r w:rsidRPr="00823808">
              <w:rPr>
                <w:szCs w:val="24"/>
              </w:rPr>
              <w:t>Failure to exercise care and candor when communicating the terms and conditions of premiums, prizes, merchandise discounts or other inducements to list, sell, purchase, or lease</w:t>
            </w:r>
          </w:p>
        </w:tc>
        <w:tc>
          <w:tcPr>
            <w:tcW w:w="2790" w:type="dxa"/>
            <w:shd w:val="clear" w:color="auto" w:fill="auto"/>
          </w:tcPr>
          <w:p w14:paraId="38C5223A" w14:textId="77777777" w:rsidR="00DA107A" w:rsidRPr="00823808" w:rsidRDefault="00DA107A" w:rsidP="0008386F">
            <w:pPr>
              <w:rPr>
                <w:szCs w:val="24"/>
              </w:rPr>
            </w:pPr>
            <w:r w:rsidRPr="00823808">
              <w:rPr>
                <w:szCs w:val="24"/>
              </w:rPr>
              <w:t>Article 12, supported by Standard of Practice 12-3</w:t>
            </w:r>
          </w:p>
        </w:tc>
        <w:tc>
          <w:tcPr>
            <w:tcW w:w="1890" w:type="dxa"/>
            <w:shd w:val="clear" w:color="auto" w:fill="auto"/>
          </w:tcPr>
          <w:p w14:paraId="7DBED818" w14:textId="77777777" w:rsidR="00DA107A" w:rsidRPr="00823808" w:rsidRDefault="00DA107A" w:rsidP="0008386F">
            <w:pPr>
              <w:rPr>
                <w:b/>
                <w:szCs w:val="24"/>
              </w:rPr>
            </w:pPr>
          </w:p>
        </w:tc>
        <w:tc>
          <w:tcPr>
            <w:tcW w:w="2520" w:type="dxa"/>
            <w:shd w:val="clear" w:color="auto" w:fill="auto"/>
          </w:tcPr>
          <w:p w14:paraId="1D75066F" w14:textId="77777777" w:rsidR="00DA107A" w:rsidRPr="00823808" w:rsidRDefault="00DA107A" w:rsidP="0008386F">
            <w:pPr>
              <w:rPr>
                <w:b/>
                <w:szCs w:val="24"/>
              </w:rPr>
            </w:pPr>
          </w:p>
        </w:tc>
      </w:tr>
      <w:tr w:rsidR="00DA107A" w:rsidRPr="00823808" w14:paraId="7DAAB393" w14:textId="77777777" w:rsidTr="0008386F">
        <w:tc>
          <w:tcPr>
            <w:tcW w:w="4230" w:type="dxa"/>
            <w:shd w:val="clear" w:color="auto" w:fill="auto"/>
          </w:tcPr>
          <w:p w14:paraId="51D20959" w14:textId="77777777" w:rsidR="00DA107A" w:rsidRPr="00823808" w:rsidRDefault="00DA107A" w:rsidP="0008386F">
            <w:pPr>
              <w:rPr>
                <w:szCs w:val="24"/>
              </w:rPr>
            </w:pPr>
            <w:r w:rsidRPr="00823808">
              <w:rPr>
                <w:szCs w:val="24"/>
              </w:rPr>
              <w:t>Advertising property for sale/lease without authority of owner or listing broker</w:t>
            </w:r>
          </w:p>
        </w:tc>
        <w:tc>
          <w:tcPr>
            <w:tcW w:w="2790" w:type="dxa"/>
            <w:shd w:val="clear" w:color="auto" w:fill="auto"/>
          </w:tcPr>
          <w:p w14:paraId="01BD7DB8" w14:textId="77777777" w:rsidR="00DA107A" w:rsidRPr="00823808" w:rsidRDefault="00DA107A" w:rsidP="0008386F">
            <w:pPr>
              <w:rPr>
                <w:szCs w:val="24"/>
              </w:rPr>
            </w:pPr>
            <w:r w:rsidRPr="00823808">
              <w:rPr>
                <w:szCs w:val="24"/>
              </w:rPr>
              <w:t>Article 12, supported by Standard of Practice 12-4</w:t>
            </w:r>
          </w:p>
        </w:tc>
        <w:tc>
          <w:tcPr>
            <w:tcW w:w="1890" w:type="dxa"/>
            <w:shd w:val="clear" w:color="auto" w:fill="auto"/>
          </w:tcPr>
          <w:p w14:paraId="5D8C9BE9" w14:textId="77777777" w:rsidR="00DA107A" w:rsidRPr="00823808" w:rsidRDefault="00DA107A" w:rsidP="0008386F">
            <w:pPr>
              <w:rPr>
                <w:b/>
                <w:szCs w:val="24"/>
              </w:rPr>
            </w:pPr>
          </w:p>
        </w:tc>
        <w:tc>
          <w:tcPr>
            <w:tcW w:w="2520" w:type="dxa"/>
            <w:shd w:val="clear" w:color="auto" w:fill="auto"/>
          </w:tcPr>
          <w:p w14:paraId="76462FF5" w14:textId="77777777" w:rsidR="00DA107A" w:rsidRPr="00823808" w:rsidRDefault="00DA107A" w:rsidP="0008386F">
            <w:pPr>
              <w:rPr>
                <w:b/>
                <w:szCs w:val="24"/>
              </w:rPr>
            </w:pPr>
          </w:p>
        </w:tc>
      </w:tr>
      <w:tr w:rsidR="00DA107A" w:rsidRPr="00823808" w14:paraId="27484DE6" w14:textId="77777777" w:rsidTr="0008386F">
        <w:tc>
          <w:tcPr>
            <w:tcW w:w="4230" w:type="dxa"/>
            <w:shd w:val="clear" w:color="auto" w:fill="auto"/>
          </w:tcPr>
          <w:p w14:paraId="18B80C0F" w14:textId="77777777" w:rsidR="00DA107A" w:rsidRPr="00823808" w:rsidRDefault="00DA107A" w:rsidP="0008386F">
            <w:pPr>
              <w:rPr>
                <w:szCs w:val="24"/>
              </w:rPr>
            </w:pPr>
            <w:r w:rsidRPr="00823808">
              <w:rPr>
                <w:szCs w:val="24"/>
              </w:rPr>
              <w:t>Failing to disclose name of firm in advertisement for listed property</w:t>
            </w:r>
          </w:p>
        </w:tc>
        <w:tc>
          <w:tcPr>
            <w:tcW w:w="2790" w:type="dxa"/>
            <w:shd w:val="clear" w:color="auto" w:fill="auto"/>
          </w:tcPr>
          <w:p w14:paraId="67B36673" w14:textId="77777777" w:rsidR="00DA107A" w:rsidRPr="00823808" w:rsidRDefault="00DA107A" w:rsidP="0008386F">
            <w:pPr>
              <w:rPr>
                <w:szCs w:val="24"/>
              </w:rPr>
            </w:pPr>
            <w:r w:rsidRPr="00823808">
              <w:rPr>
                <w:szCs w:val="24"/>
              </w:rPr>
              <w:t>Article 12, supported by Standard of Practice 12-5</w:t>
            </w:r>
          </w:p>
        </w:tc>
        <w:tc>
          <w:tcPr>
            <w:tcW w:w="1890" w:type="dxa"/>
            <w:shd w:val="clear" w:color="auto" w:fill="auto"/>
          </w:tcPr>
          <w:p w14:paraId="686E4329" w14:textId="77777777" w:rsidR="00DA107A" w:rsidRPr="00823808" w:rsidRDefault="00DA107A" w:rsidP="0008386F">
            <w:pPr>
              <w:rPr>
                <w:b/>
                <w:szCs w:val="24"/>
              </w:rPr>
            </w:pPr>
          </w:p>
        </w:tc>
        <w:tc>
          <w:tcPr>
            <w:tcW w:w="2520" w:type="dxa"/>
            <w:shd w:val="clear" w:color="auto" w:fill="auto"/>
          </w:tcPr>
          <w:p w14:paraId="69135F9F" w14:textId="77777777" w:rsidR="00DA107A" w:rsidRPr="00823808" w:rsidRDefault="00DA107A" w:rsidP="0008386F">
            <w:pPr>
              <w:rPr>
                <w:b/>
                <w:szCs w:val="24"/>
              </w:rPr>
            </w:pPr>
          </w:p>
        </w:tc>
      </w:tr>
      <w:tr w:rsidR="00DA107A" w:rsidRPr="00823808" w14:paraId="75BE3BFE" w14:textId="77777777" w:rsidTr="0008386F">
        <w:tc>
          <w:tcPr>
            <w:tcW w:w="4230" w:type="dxa"/>
            <w:shd w:val="clear" w:color="auto" w:fill="auto"/>
          </w:tcPr>
          <w:p w14:paraId="1BE1430E" w14:textId="77777777" w:rsidR="00DA107A" w:rsidRPr="00823808" w:rsidRDefault="00DA107A" w:rsidP="0008386F">
            <w:pPr>
              <w:rPr>
                <w:szCs w:val="24"/>
              </w:rPr>
            </w:pPr>
            <w:r w:rsidRPr="00823808">
              <w:rPr>
                <w:szCs w:val="24"/>
              </w:rPr>
              <w:t>Failing to disclose status as both owner/landlord and REALTOR</w:t>
            </w:r>
            <w:r w:rsidRPr="005A32CA">
              <w:rPr>
                <w:szCs w:val="24"/>
                <w:vertAlign w:val="superscript"/>
              </w:rPr>
              <w:t>®</w:t>
            </w:r>
            <w:r w:rsidRPr="00823808">
              <w:rPr>
                <w:szCs w:val="24"/>
              </w:rPr>
              <w:t xml:space="preserve"> or licensee when advertising property in which REALTOR</w:t>
            </w:r>
            <w:r w:rsidRPr="005A32CA">
              <w:rPr>
                <w:szCs w:val="24"/>
                <w:vertAlign w:val="superscript"/>
              </w:rPr>
              <w:t>®</w:t>
            </w:r>
            <w:r w:rsidRPr="00823808">
              <w:rPr>
                <w:szCs w:val="24"/>
              </w:rPr>
              <w:t xml:space="preserve"> has ownership interest</w:t>
            </w:r>
          </w:p>
        </w:tc>
        <w:tc>
          <w:tcPr>
            <w:tcW w:w="2790" w:type="dxa"/>
            <w:shd w:val="clear" w:color="auto" w:fill="auto"/>
          </w:tcPr>
          <w:p w14:paraId="2BD6230A" w14:textId="77777777" w:rsidR="00DA107A" w:rsidRPr="00823808" w:rsidRDefault="00DA107A" w:rsidP="0008386F">
            <w:pPr>
              <w:rPr>
                <w:szCs w:val="24"/>
              </w:rPr>
            </w:pPr>
            <w:r w:rsidRPr="00823808">
              <w:rPr>
                <w:szCs w:val="24"/>
              </w:rPr>
              <w:t>Article 12, supported by Standard of Practice 12-6</w:t>
            </w:r>
          </w:p>
        </w:tc>
        <w:tc>
          <w:tcPr>
            <w:tcW w:w="1890" w:type="dxa"/>
            <w:shd w:val="clear" w:color="auto" w:fill="auto"/>
          </w:tcPr>
          <w:p w14:paraId="510AFDE4" w14:textId="77777777" w:rsidR="00DA107A" w:rsidRPr="00823808" w:rsidRDefault="00DA107A" w:rsidP="0008386F">
            <w:pPr>
              <w:rPr>
                <w:b/>
                <w:szCs w:val="24"/>
              </w:rPr>
            </w:pPr>
          </w:p>
        </w:tc>
        <w:tc>
          <w:tcPr>
            <w:tcW w:w="2520" w:type="dxa"/>
            <w:shd w:val="clear" w:color="auto" w:fill="auto"/>
          </w:tcPr>
          <w:p w14:paraId="2DBAE3B4" w14:textId="77777777" w:rsidR="00DA107A" w:rsidRPr="00823808" w:rsidRDefault="00DA107A" w:rsidP="0008386F">
            <w:pPr>
              <w:rPr>
                <w:b/>
                <w:szCs w:val="24"/>
              </w:rPr>
            </w:pPr>
          </w:p>
        </w:tc>
      </w:tr>
      <w:tr w:rsidR="00DA107A" w:rsidRPr="00823808" w14:paraId="50441925" w14:textId="77777777" w:rsidTr="0008386F">
        <w:tc>
          <w:tcPr>
            <w:tcW w:w="4230" w:type="dxa"/>
            <w:shd w:val="clear" w:color="auto" w:fill="auto"/>
          </w:tcPr>
          <w:p w14:paraId="1E1063AE" w14:textId="77777777" w:rsidR="00DA107A" w:rsidRPr="00823808" w:rsidRDefault="00DA107A" w:rsidP="0008386F">
            <w:pPr>
              <w:rPr>
                <w:szCs w:val="24"/>
              </w:rPr>
            </w:pPr>
            <w:r w:rsidRPr="00823808">
              <w:rPr>
                <w:szCs w:val="24"/>
              </w:rPr>
              <w:t>Falsely claiming to have “sold” property</w:t>
            </w:r>
          </w:p>
        </w:tc>
        <w:tc>
          <w:tcPr>
            <w:tcW w:w="2790" w:type="dxa"/>
            <w:shd w:val="clear" w:color="auto" w:fill="auto"/>
          </w:tcPr>
          <w:p w14:paraId="75CCCCF8" w14:textId="77777777" w:rsidR="00DA107A" w:rsidRPr="00823808" w:rsidRDefault="00DA107A" w:rsidP="0008386F">
            <w:pPr>
              <w:rPr>
                <w:szCs w:val="24"/>
              </w:rPr>
            </w:pPr>
            <w:r w:rsidRPr="00823808">
              <w:rPr>
                <w:szCs w:val="24"/>
              </w:rPr>
              <w:t>Article 12, supported by Standard of Practice 12-7</w:t>
            </w:r>
          </w:p>
        </w:tc>
        <w:tc>
          <w:tcPr>
            <w:tcW w:w="1890" w:type="dxa"/>
            <w:shd w:val="clear" w:color="auto" w:fill="auto"/>
          </w:tcPr>
          <w:p w14:paraId="4CE0403A" w14:textId="77777777" w:rsidR="00DA107A" w:rsidRPr="00823808" w:rsidRDefault="00DA107A" w:rsidP="0008386F">
            <w:pPr>
              <w:rPr>
                <w:b/>
                <w:szCs w:val="24"/>
              </w:rPr>
            </w:pPr>
          </w:p>
        </w:tc>
        <w:tc>
          <w:tcPr>
            <w:tcW w:w="2520" w:type="dxa"/>
            <w:shd w:val="clear" w:color="auto" w:fill="auto"/>
          </w:tcPr>
          <w:p w14:paraId="520CCDE8" w14:textId="77777777" w:rsidR="00DA107A" w:rsidRPr="00823808" w:rsidRDefault="00DA107A" w:rsidP="0008386F">
            <w:pPr>
              <w:rPr>
                <w:b/>
                <w:szCs w:val="24"/>
              </w:rPr>
            </w:pPr>
          </w:p>
        </w:tc>
      </w:tr>
      <w:tr w:rsidR="00DA107A" w:rsidRPr="00823808" w14:paraId="663B2F53" w14:textId="77777777" w:rsidTr="0008386F">
        <w:tc>
          <w:tcPr>
            <w:tcW w:w="4230" w:type="dxa"/>
            <w:shd w:val="clear" w:color="auto" w:fill="auto"/>
          </w:tcPr>
          <w:p w14:paraId="5F856E71" w14:textId="77777777" w:rsidR="00DA107A" w:rsidRPr="00823808" w:rsidRDefault="00DA107A" w:rsidP="0008386F">
            <w:pPr>
              <w:rPr>
                <w:szCs w:val="24"/>
              </w:rPr>
            </w:pPr>
            <w:r w:rsidRPr="00823808">
              <w:rPr>
                <w:szCs w:val="24"/>
              </w:rPr>
              <w:t>Failure to take corrective action when it becomes apparent that information on a REALTOR</w:t>
            </w:r>
            <w:r w:rsidRPr="005A32CA">
              <w:rPr>
                <w:szCs w:val="24"/>
                <w:vertAlign w:val="superscript"/>
              </w:rPr>
              <w:t>®</w:t>
            </w:r>
            <w:r w:rsidRPr="00823808">
              <w:rPr>
                <w:szCs w:val="24"/>
              </w:rPr>
              <w:t>’s website is no longer current or accurate</w:t>
            </w:r>
          </w:p>
        </w:tc>
        <w:tc>
          <w:tcPr>
            <w:tcW w:w="2790" w:type="dxa"/>
            <w:shd w:val="clear" w:color="auto" w:fill="auto"/>
          </w:tcPr>
          <w:p w14:paraId="1CEAC244" w14:textId="77777777" w:rsidR="00DA107A" w:rsidRPr="00823808" w:rsidRDefault="00DA107A" w:rsidP="0008386F">
            <w:pPr>
              <w:rPr>
                <w:szCs w:val="24"/>
              </w:rPr>
            </w:pPr>
            <w:r w:rsidRPr="00823808">
              <w:rPr>
                <w:szCs w:val="24"/>
              </w:rPr>
              <w:t>Article 12, supported by second sentence of Standard of Practice 12-8</w:t>
            </w:r>
          </w:p>
        </w:tc>
        <w:tc>
          <w:tcPr>
            <w:tcW w:w="1890" w:type="dxa"/>
            <w:shd w:val="clear" w:color="auto" w:fill="auto"/>
          </w:tcPr>
          <w:p w14:paraId="752B5CAD" w14:textId="77777777" w:rsidR="00DA107A" w:rsidRPr="00823808" w:rsidRDefault="00DA107A" w:rsidP="0008386F">
            <w:pPr>
              <w:rPr>
                <w:b/>
                <w:szCs w:val="24"/>
              </w:rPr>
            </w:pPr>
          </w:p>
        </w:tc>
        <w:tc>
          <w:tcPr>
            <w:tcW w:w="2520" w:type="dxa"/>
            <w:shd w:val="clear" w:color="auto" w:fill="auto"/>
          </w:tcPr>
          <w:p w14:paraId="1B8F5EF9" w14:textId="77777777" w:rsidR="00DA107A" w:rsidRPr="00823808" w:rsidRDefault="00DA107A" w:rsidP="0008386F">
            <w:pPr>
              <w:rPr>
                <w:b/>
                <w:szCs w:val="24"/>
              </w:rPr>
            </w:pPr>
          </w:p>
        </w:tc>
      </w:tr>
      <w:tr w:rsidR="00DA107A" w:rsidRPr="00823808" w14:paraId="01221C89" w14:textId="77777777" w:rsidTr="0008386F">
        <w:tc>
          <w:tcPr>
            <w:tcW w:w="4230" w:type="dxa"/>
            <w:shd w:val="clear" w:color="auto" w:fill="auto"/>
          </w:tcPr>
          <w:p w14:paraId="07937E30" w14:textId="77777777" w:rsidR="00DA107A" w:rsidRPr="00823808" w:rsidRDefault="00DA107A" w:rsidP="0008386F">
            <w:pPr>
              <w:rPr>
                <w:szCs w:val="24"/>
              </w:rPr>
            </w:pPr>
            <w:r w:rsidRPr="00823808">
              <w:rPr>
                <w:szCs w:val="24"/>
              </w:rPr>
              <w:t>Failure to disclose firm name and state of licensure on REALTOR</w:t>
            </w:r>
            <w:r w:rsidRPr="005A32CA">
              <w:rPr>
                <w:szCs w:val="24"/>
                <w:vertAlign w:val="superscript"/>
              </w:rPr>
              <w:t>®</w:t>
            </w:r>
            <w:r w:rsidRPr="00823808">
              <w:rPr>
                <w:szCs w:val="24"/>
              </w:rPr>
              <w:t xml:space="preserve"> firm website</w:t>
            </w:r>
          </w:p>
        </w:tc>
        <w:tc>
          <w:tcPr>
            <w:tcW w:w="2790" w:type="dxa"/>
            <w:shd w:val="clear" w:color="auto" w:fill="auto"/>
          </w:tcPr>
          <w:p w14:paraId="405CB4A7" w14:textId="77777777" w:rsidR="00DA107A" w:rsidRPr="00823808" w:rsidRDefault="00DA107A" w:rsidP="0008386F">
            <w:pPr>
              <w:rPr>
                <w:szCs w:val="24"/>
              </w:rPr>
            </w:pPr>
            <w:r w:rsidRPr="00823808">
              <w:rPr>
                <w:szCs w:val="24"/>
              </w:rPr>
              <w:t>Article 12, supported by Standard of Practice 12-9</w:t>
            </w:r>
          </w:p>
        </w:tc>
        <w:tc>
          <w:tcPr>
            <w:tcW w:w="1890" w:type="dxa"/>
            <w:shd w:val="clear" w:color="auto" w:fill="auto"/>
          </w:tcPr>
          <w:p w14:paraId="3F8B53DE" w14:textId="77777777" w:rsidR="00DA107A" w:rsidRPr="00823808" w:rsidRDefault="00DA107A" w:rsidP="0008386F">
            <w:pPr>
              <w:rPr>
                <w:b/>
                <w:szCs w:val="24"/>
              </w:rPr>
            </w:pPr>
          </w:p>
        </w:tc>
        <w:tc>
          <w:tcPr>
            <w:tcW w:w="2520" w:type="dxa"/>
            <w:shd w:val="clear" w:color="auto" w:fill="auto"/>
          </w:tcPr>
          <w:p w14:paraId="5F1D4663" w14:textId="77777777" w:rsidR="00DA107A" w:rsidRPr="00823808" w:rsidRDefault="00DA107A" w:rsidP="0008386F">
            <w:pPr>
              <w:rPr>
                <w:b/>
                <w:szCs w:val="24"/>
              </w:rPr>
            </w:pPr>
          </w:p>
        </w:tc>
      </w:tr>
      <w:tr w:rsidR="00DA107A" w:rsidRPr="00823808" w14:paraId="6969DACE" w14:textId="77777777" w:rsidTr="0008386F">
        <w:tc>
          <w:tcPr>
            <w:tcW w:w="4230" w:type="dxa"/>
            <w:shd w:val="clear" w:color="auto" w:fill="auto"/>
          </w:tcPr>
          <w:p w14:paraId="14AD5BB6" w14:textId="77777777" w:rsidR="00E51427" w:rsidRPr="00E51427" w:rsidRDefault="00E51427" w:rsidP="00E51427">
            <w:pPr>
              <w:rPr>
                <w:iCs/>
              </w:rPr>
            </w:pPr>
            <w:r w:rsidRPr="00E51427">
              <w:rPr>
                <w:iCs/>
              </w:rPr>
              <w:t xml:space="preserve">Misleading consumers through deceptive framing, manipulating content, deceptively diverting internet traffic, presenting other’s content without attribution or permission, or using </w:t>
            </w:r>
            <w:r w:rsidRPr="00E51427">
              <w:rPr>
                <w:iCs/>
              </w:rPr>
              <w:lastRenderedPageBreak/>
              <w:t>misleading images</w:t>
            </w:r>
          </w:p>
          <w:p w14:paraId="59A4017A" w14:textId="77777777" w:rsidR="00E51427" w:rsidRPr="00823808" w:rsidRDefault="00E51427" w:rsidP="0008386F">
            <w:pPr>
              <w:rPr>
                <w:szCs w:val="24"/>
              </w:rPr>
            </w:pPr>
          </w:p>
        </w:tc>
        <w:tc>
          <w:tcPr>
            <w:tcW w:w="2790" w:type="dxa"/>
            <w:shd w:val="clear" w:color="auto" w:fill="auto"/>
          </w:tcPr>
          <w:p w14:paraId="03D978AF" w14:textId="77777777" w:rsidR="00DA107A" w:rsidRPr="00823808" w:rsidRDefault="00DA107A" w:rsidP="0008386F">
            <w:pPr>
              <w:rPr>
                <w:szCs w:val="24"/>
              </w:rPr>
            </w:pPr>
            <w:r w:rsidRPr="00823808">
              <w:rPr>
                <w:szCs w:val="24"/>
              </w:rPr>
              <w:lastRenderedPageBreak/>
              <w:t>Article 12, supported by Standard of Practice 12-10</w:t>
            </w:r>
          </w:p>
        </w:tc>
        <w:tc>
          <w:tcPr>
            <w:tcW w:w="1890" w:type="dxa"/>
            <w:shd w:val="clear" w:color="auto" w:fill="auto"/>
          </w:tcPr>
          <w:p w14:paraId="48F774CA" w14:textId="77777777" w:rsidR="00DA107A" w:rsidRPr="00823808" w:rsidRDefault="00DA107A" w:rsidP="0008386F">
            <w:pPr>
              <w:rPr>
                <w:b/>
                <w:szCs w:val="24"/>
              </w:rPr>
            </w:pPr>
          </w:p>
        </w:tc>
        <w:tc>
          <w:tcPr>
            <w:tcW w:w="2520" w:type="dxa"/>
            <w:shd w:val="clear" w:color="auto" w:fill="auto"/>
          </w:tcPr>
          <w:p w14:paraId="58485175" w14:textId="77777777" w:rsidR="00DA107A" w:rsidRPr="00823808" w:rsidRDefault="00DA107A" w:rsidP="0008386F">
            <w:pPr>
              <w:rPr>
                <w:b/>
                <w:szCs w:val="24"/>
              </w:rPr>
            </w:pPr>
          </w:p>
        </w:tc>
      </w:tr>
      <w:tr w:rsidR="00DA107A" w:rsidRPr="00823808" w14:paraId="46F8B0DC" w14:textId="77777777" w:rsidTr="0008386F">
        <w:tc>
          <w:tcPr>
            <w:tcW w:w="4230" w:type="dxa"/>
            <w:shd w:val="clear" w:color="auto" w:fill="auto"/>
          </w:tcPr>
          <w:p w14:paraId="1CFC00DB" w14:textId="77777777" w:rsidR="00DA107A" w:rsidRPr="00823808" w:rsidRDefault="00DA107A" w:rsidP="0008386F">
            <w:pPr>
              <w:rPr>
                <w:szCs w:val="24"/>
              </w:rPr>
            </w:pPr>
            <w:r w:rsidRPr="00823808">
              <w:rPr>
                <w:szCs w:val="24"/>
              </w:rPr>
              <w:t>Registering or using of deceptive URL or domain name</w:t>
            </w:r>
          </w:p>
          <w:p w14:paraId="0AB99A3E" w14:textId="77777777" w:rsidR="00DA107A" w:rsidRPr="00823808" w:rsidRDefault="00DA107A" w:rsidP="0008386F">
            <w:pPr>
              <w:rPr>
                <w:szCs w:val="24"/>
              </w:rPr>
            </w:pPr>
          </w:p>
        </w:tc>
        <w:tc>
          <w:tcPr>
            <w:tcW w:w="2790" w:type="dxa"/>
            <w:shd w:val="clear" w:color="auto" w:fill="auto"/>
          </w:tcPr>
          <w:p w14:paraId="0D5EF758" w14:textId="77777777" w:rsidR="00DA107A" w:rsidRPr="00823808" w:rsidRDefault="00DA107A" w:rsidP="0008386F">
            <w:pPr>
              <w:rPr>
                <w:szCs w:val="24"/>
              </w:rPr>
            </w:pPr>
            <w:r w:rsidRPr="00823808">
              <w:rPr>
                <w:szCs w:val="24"/>
              </w:rPr>
              <w:t>Article 12, supported by Standard of Practice 12-12</w:t>
            </w:r>
          </w:p>
          <w:p w14:paraId="0F43B500" w14:textId="77777777" w:rsidR="00DA107A" w:rsidRPr="00823808" w:rsidRDefault="00DA107A" w:rsidP="0008386F">
            <w:pPr>
              <w:rPr>
                <w:szCs w:val="24"/>
              </w:rPr>
            </w:pPr>
          </w:p>
        </w:tc>
        <w:tc>
          <w:tcPr>
            <w:tcW w:w="1890" w:type="dxa"/>
            <w:shd w:val="clear" w:color="auto" w:fill="auto"/>
          </w:tcPr>
          <w:p w14:paraId="33838629" w14:textId="77777777" w:rsidR="00DA107A" w:rsidRPr="00823808" w:rsidRDefault="00DA107A" w:rsidP="0008386F">
            <w:pPr>
              <w:rPr>
                <w:b/>
                <w:szCs w:val="24"/>
              </w:rPr>
            </w:pPr>
          </w:p>
        </w:tc>
        <w:tc>
          <w:tcPr>
            <w:tcW w:w="2520" w:type="dxa"/>
            <w:shd w:val="clear" w:color="auto" w:fill="auto"/>
          </w:tcPr>
          <w:p w14:paraId="57BE9F78" w14:textId="77777777" w:rsidR="00DA107A" w:rsidRPr="00823808" w:rsidRDefault="00DA107A" w:rsidP="0008386F">
            <w:pPr>
              <w:rPr>
                <w:b/>
                <w:szCs w:val="24"/>
              </w:rPr>
            </w:pPr>
          </w:p>
        </w:tc>
      </w:tr>
      <w:tr w:rsidR="00DA107A" w:rsidRPr="00823808" w14:paraId="1E238B16" w14:textId="77777777" w:rsidTr="0008386F">
        <w:tc>
          <w:tcPr>
            <w:tcW w:w="4230" w:type="dxa"/>
            <w:shd w:val="clear" w:color="auto" w:fill="auto"/>
          </w:tcPr>
          <w:p w14:paraId="4DA5C1D6" w14:textId="77777777" w:rsidR="00DA107A" w:rsidRPr="00823808" w:rsidRDefault="00DA107A" w:rsidP="0008386F">
            <w:pPr>
              <w:rPr>
                <w:szCs w:val="24"/>
              </w:rPr>
            </w:pPr>
            <w:r w:rsidRPr="00823808">
              <w:rPr>
                <w:szCs w:val="24"/>
              </w:rPr>
              <w:t>Representing that the REALTOR</w:t>
            </w:r>
            <w:r w:rsidRPr="005A32CA">
              <w:rPr>
                <w:szCs w:val="24"/>
                <w:vertAlign w:val="superscript"/>
              </w:rPr>
              <w:t>®</w:t>
            </w:r>
            <w:r w:rsidRPr="00823808">
              <w:rPr>
                <w:szCs w:val="24"/>
              </w:rPr>
              <w:t xml:space="preserve"> has a designation, certification, or other credential they are not entitled to use</w:t>
            </w:r>
          </w:p>
        </w:tc>
        <w:tc>
          <w:tcPr>
            <w:tcW w:w="2790" w:type="dxa"/>
            <w:shd w:val="clear" w:color="auto" w:fill="auto"/>
          </w:tcPr>
          <w:p w14:paraId="6B0A0761" w14:textId="77777777" w:rsidR="00DA107A" w:rsidRPr="00823808" w:rsidRDefault="00DA107A" w:rsidP="0008386F">
            <w:pPr>
              <w:rPr>
                <w:szCs w:val="24"/>
              </w:rPr>
            </w:pPr>
            <w:r w:rsidRPr="00823808">
              <w:rPr>
                <w:szCs w:val="24"/>
              </w:rPr>
              <w:t>Article 12, supported by Standard of Practice 12-13</w:t>
            </w:r>
          </w:p>
        </w:tc>
        <w:tc>
          <w:tcPr>
            <w:tcW w:w="1890" w:type="dxa"/>
            <w:shd w:val="clear" w:color="auto" w:fill="auto"/>
          </w:tcPr>
          <w:p w14:paraId="7ACA0FDE" w14:textId="77777777" w:rsidR="00DA107A" w:rsidRPr="00823808" w:rsidRDefault="00DA107A" w:rsidP="0008386F">
            <w:pPr>
              <w:rPr>
                <w:b/>
                <w:szCs w:val="24"/>
              </w:rPr>
            </w:pPr>
          </w:p>
        </w:tc>
        <w:tc>
          <w:tcPr>
            <w:tcW w:w="2520" w:type="dxa"/>
            <w:shd w:val="clear" w:color="auto" w:fill="auto"/>
          </w:tcPr>
          <w:p w14:paraId="34CFACC3" w14:textId="77777777" w:rsidR="00DA107A" w:rsidRPr="00823808" w:rsidRDefault="00DA107A" w:rsidP="0008386F">
            <w:pPr>
              <w:rPr>
                <w:b/>
                <w:szCs w:val="24"/>
              </w:rPr>
            </w:pPr>
          </w:p>
        </w:tc>
      </w:tr>
      <w:tr w:rsidR="00DA107A" w:rsidRPr="00823808" w14:paraId="35BB4FD3" w14:textId="77777777" w:rsidTr="0008386F">
        <w:tc>
          <w:tcPr>
            <w:tcW w:w="4230" w:type="dxa"/>
            <w:shd w:val="clear" w:color="auto" w:fill="auto"/>
          </w:tcPr>
          <w:p w14:paraId="549B8117" w14:textId="77777777" w:rsidR="00DA107A" w:rsidRPr="00823808" w:rsidRDefault="00DA107A" w:rsidP="0008386F">
            <w:pPr>
              <w:rPr>
                <w:b/>
                <w:szCs w:val="24"/>
              </w:rPr>
            </w:pPr>
            <w:r w:rsidRPr="00823808">
              <w:rPr>
                <w:b/>
                <w:szCs w:val="24"/>
              </w:rPr>
              <w:t>Article 14</w:t>
            </w:r>
          </w:p>
          <w:p w14:paraId="6CB42EBD" w14:textId="77777777" w:rsidR="00DA107A" w:rsidRPr="00823808" w:rsidRDefault="00DA107A" w:rsidP="0008386F">
            <w:pPr>
              <w:rPr>
                <w:szCs w:val="24"/>
              </w:rPr>
            </w:pPr>
          </w:p>
        </w:tc>
        <w:tc>
          <w:tcPr>
            <w:tcW w:w="2790" w:type="dxa"/>
            <w:shd w:val="clear" w:color="auto" w:fill="auto"/>
          </w:tcPr>
          <w:p w14:paraId="5771EB44" w14:textId="77777777" w:rsidR="00DA107A" w:rsidRPr="00823808" w:rsidRDefault="00DA107A" w:rsidP="0008386F">
            <w:pPr>
              <w:rPr>
                <w:szCs w:val="24"/>
              </w:rPr>
            </w:pPr>
          </w:p>
        </w:tc>
        <w:tc>
          <w:tcPr>
            <w:tcW w:w="1890" w:type="dxa"/>
            <w:shd w:val="clear" w:color="auto" w:fill="auto"/>
          </w:tcPr>
          <w:p w14:paraId="485B6B0A" w14:textId="77777777" w:rsidR="00DA107A" w:rsidRPr="00823808" w:rsidRDefault="00DA107A" w:rsidP="0008386F">
            <w:pPr>
              <w:rPr>
                <w:b/>
                <w:szCs w:val="24"/>
              </w:rPr>
            </w:pPr>
          </w:p>
        </w:tc>
        <w:tc>
          <w:tcPr>
            <w:tcW w:w="2520" w:type="dxa"/>
            <w:shd w:val="clear" w:color="auto" w:fill="auto"/>
          </w:tcPr>
          <w:p w14:paraId="76264894" w14:textId="77777777" w:rsidR="00DA107A" w:rsidRPr="00823808" w:rsidRDefault="00DA107A" w:rsidP="0008386F">
            <w:pPr>
              <w:rPr>
                <w:b/>
                <w:szCs w:val="24"/>
              </w:rPr>
            </w:pPr>
          </w:p>
        </w:tc>
      </w:tr>
      <w:tr w:rsidR="00DA107A" w:rsidRPr="00823808" w14:paraId="6B5EF482" w14:textId="77777777" w:rsidTr="0008386F">
        <w:tc>
          <w:tcPr>
            <w:tcW w:w="4230" w:type="dxa"/>
            <w:shd w:val="clear" w:color="auto" w:fill="auto"/>
          </w:tcPr>
          <w:p w14:paraId="6DF22771" w14:textId="77777777" w:rsidR="00DA107A" w:rsidRPr="00823808" w:rsidRDefault="00DA107A" w:rsidP="0008386F">
            <w:pPr>
              <w:rPr>
                <w:szCs w:val="24"/>
              </w:rPr>
            </w:pPr>
            <w:r w:rsidRPr="00823808">
              <w:rPr>
                <w:szCs w:val="24"/>
              </w:rPr>
              <w:t xml:space="preserve">Failing to cooperate in a professional standards proceeding or investigation in circumstances when cooperation has been demanded by the association and association has advised REALTOR® failure to cooperate could result in an allegation of a violation of Article 14 </w:t>
            </w:r>
          </w:p>
        </w:tc>
        <w:tc>
          <w:tcPr>
            <w:tcW w:w="2790" w:type="dxa"/>
            <w:shd w:val="clear" w:color="auto" w:fill="auto"/>
          </w:tcPr>
          <w:p w14:paraId="7DE0196D" w14:textId="77777777" w:rsidR="00DA107A" w:rsidRPr="00823808" w:rsidRDefault="00DA107A" w:rsidP="0008386F">
            <w:pPr>
              <w:rPr>
                <w:szCs w:val="24"/>
              </w:rPr>
            </w:pPr>
            <w:r w:rsidRPr="00823808">
              <w:rPr>
                <w:szCs w:val="24"/>
              </w:rPr>
              <w:t>Article 14</w:t>
            </w:r>
          </w:p>
        </w:tc>
        <w:tc>
          <w:tcPr>
            <w:tcW w:w="1890" w:type="dxa"/>
            <w:shd w:val="clear" w:color="auto" w:fill="auto"/>
          </w:tcPr>
          <w:p w14:paraId="193C62B6" w14:textId="77777777" w:rsidR="00DA107A" w:rsidRPr="00823808" w:rsidRDefault="00DA107A" w:rsidP="0008386F">
            <w:pPr>
              <w:rPr>
                <w:b/>
                <w:szCs w:val="24"/>
              </w:rPr>
            </w:pPr>
          </w:p>
        </w:tc>
        <w:tc>
          <w:tcPr>
            <w:tcW w:w="2520" w:type="dxa"/>
            <w:shd w:val="clear" w:color="auto" w:fill="auto"/>
          </w:tcPr>
          <w:p w14:paraId="3CA39A30" w14:textId="77777777" w:rsidR="00DA107A" w:rsidRPr="00823808" w:rsidRDefault="00DA107A" w:rsidP="0008386F">
            <w:pPr>
              <w:rPr>
                <w:b/>
                <w:szCs w:val="24"/>
              </w:rPr>
            </w:pPr>
          </w:p>
        </w:tc>
      </w:tr>
      <w:tr w:rsidR="00DA107A" w:rsidRPr="00823808" w14:paraId="45EB797A" w14:textId="77777777" w:rsidTr="0008386F">
        <w:tc>
          <w:tcPr>
            <w:tcW w:w="4230" w:type="dxa"/>
            <w:shd w:val="clear" w:color="auto" w:fill="auto"/>
          </w:tcPr>
          <w:p w14:paraId="34D70D99" w14:textId="77777777" w:rsidR="00DA107A" w:rsidRPr="00823808" w:rsidRDefault="00DA107A" w:rsidP="0008386F">
            <w:pPr>
              <w:rPr>
                <w:b/>
                <w:szCs w:val="24"/>
              </w:rPr>
            </w:pPr>
            <w:r w:rsidRPr="00823808">
              <w:rPr>
                <w:b/>
                <w:szCs w:val="24"/>
              </w:rPr>
              <w:t>Article 16</w:t>
            </w:r>
          </w:p>
          <w:p w14:paraId="39316F7D" w14:textId="77777777" w:rsidR="00DA107A" w:rsidRPr="00823808" w:rsidRDefault="00DA107A" w:rsidP="0008386F">
            <w:pPr>
              <w:rPr>
                <w:b/>
                <w:szCs w:val="24"/>
              </w:rPr>
            </w:pPr>
          </w:p>
        </w:tc>
        <w:tc>
          <w:tcPr>
            <w:tcW w:w="2790" w:type="dxa"/>
            <w:shd w:val="clear" w:color="auto" w:fill="auto"/>
          </w:tcPr>
          <w:p w14:paraId="388EDE22" w14:textId="77777777" w:rsidR="00DA107A" w:rsidRPr="00823808" w:rsidRDefault="00DA107A" w:rsidP="0008386F">
            <w:pPr>
              <w:rPr>
                <w:szCs w:val="24"/>
              </w:rPr>
            </w:pPr>
          </w:p>
        </w:tc>
        <w:tc>
          <w:tcPr>
            <w:tcW w:w="1890" w:type="dxa"/>
            <w:shd w:val="clear" w:color="auto" w:fill="auto"/>
          </w:tcPr>
          <w:p w14:paraId="5BECA261" w14:textId="77777777" w:rsidR="00DA107A" w:rsidRPr="00823808" w:rsidRDefault="00DA107A" w:rsidP="0008386F">
            <w:pPr>
              <w:rPr>
                <w:b/>
                <w:szCs w:val="24"/>
              </w:rPr>
            </w:pPr>
          </w:p>
        </w:tc>
        <w:tc>
          <w:tcPr>
            <w:tcW w:w="2520" w:type="dxa"/>
            <w:shd w:val="clear" w:color="auto" w:fill="auto"/>
          </w:tcPr>
          <w:p w14:paraId="201E4FE3" w14:textId="77777777" w:rsidR="00DA107A" w:rsidRPr="00823808" w:rsidRDefault="00DA107A" w:rsidP="0008386F">
            <w:pPr>
              <w:rPr>
                <w:b/>
                <w:szCs w:val="24"/>
              </w:rPr>
            </w:pPr>
          </w:p>
        </w:tc>
      </w:tr>
      <w:tr w:rsidR="00DA107A" w:rsidRPr="00823808" w14:paraId="276A0FDC" w14:textId="77777777" w:rsidTr="0008386F">
        <w:tc>
          <w:tcPr>
            <w:tcW w:w="4230" w:type="dxa"/>
            <w:shd w:val="clear" w:color="auto" w:fill="auto"/>
          </w:tcPr>
          <w:p w14:paraId="75A01821" w14:textId="77777777" w:rsidR="00DA107A" w:rsidRPr="00823808" w:rsidRDefault="00DA107A" w:rsidP="0008386F">
            <w:pPr>
              <w:rPr>
                <w:szCs w:val="24"/>
              </w:rPr>
            </w:pPr>
            <w:r w:rsidRPr="00823808">
              <w:rPr>
                <w:szCs w:val="24"/>
              </w:rPr>
              <w:t>Conditioning submission of a buyer’s offer on additional compensation from a listing broker</w:t>
            </w:r>
          </w:p>
        </w:tc>
        <w:tc>
          <w:tcPr>
            <w:tcW w:w="2790" w:type="dxa"/>
            <w:shd w:val="clear" w:color="auto" w:fill="auto"/>
          </w:tcPr>
          <w:p w14:paraId="19CAAFE3" w14:textId="77777777" w:rsidR="00DA107A" w:rsidRPr="00823808" w:rsidRDefault="00DA107A" w:rsidP="0008386F">
            <w:pPr>
              <w:rPr>
                <w:szCs w:val="24"/>
              </w:rPr>
            </w:pPr>
            <w:r w:rsidRPr="00823808">
              <w:rPr>
                <w:szCs w:val="24"/>
              </w:rPr>
              <w:t>Article 16, supported by Standard of Practice 16-16</w:t>
            </w:r>
          </w:p>
        </w:tc>
        <w:tc>
          <w:tcPr>
            <w:tcW w:w="1890" w:type="dxa"/>
            <w:shd w:val="clear" w:color="auto" w:fill="auto"/>
          </w:tcPr>
          <w:p w14:paraId="0FCA61B9" w14:textId="77777777" w:rsidR="00DA107A" w:rsidRPr="00823808" w:rsidRDefault="00DA107A" w:rsidP="0008386F">
            <w:pPr>
              <w:rPr>
                <w:b/>
                <w:szCs w:val="24"/>
              </w:rPr>
            </w:pPr>
          </w:p>
        </w:tc>
        <w:tc>
          <w:tcPr>
            <w:tcW w:w="2520" w:type="dxa"/>
            <w:shd w:val="clear" w:color="auto" w:fill="auto"/>
          </w:tcPr>
          <w:p w14:paraId="6213A9E8" w14:textId="77777777" w:rsidR="00DA107A" w:rsidRPr="00823808" w:rsidRDefault="00DA107A" w:rsidP="0008386F">
            <w:pPr>
              <w:rPr>
                <w:b/>
                <w:szCs w:val="24"/>
              </w:rPr>
            </w:pPr>
          </w:p>
        </w:tc>
      </w:tr>
      <w:tr w:rsidR="00DA107A" w:rsidRPr="00823808" w14:paraId="46C60ACC" w14:textId="77777777" w:rsidTr="0008386F">
        <w:tc>
          <w:tcPr>
            <w:tcW w:w="4230" w:type="dxa"/>
            <w:shd w:val="clear" w:color="auto" w:fill="auto"/>
          </w:tcPr>
          <w:p w14:paraId="2AEF37F3" w14:textId="77777777" w:rsidR="00DA107A" w:rsidRPr="00823808" w:rsidRDefault="00DA107A" w:rsidP="0008386F">
            <w:pPr>
              <w:rPr>
                <w:szCs w:val="24"/>
              </w:rPr>
            </w:pPr>
            <w:r w:rsidRPr="00823808">
              <w:rPr>
                <w:szCs w:val="24"/>
              </w:rPr>
              <w:t>Placing for sale/lease sign on property without permission of seller/l</w:t>
            </w:r>
            <w:r>
              <w:rPr>
                <w:szCs w:val="24"/>
              </w:rPr>
              <w:t>andlord</w:t>
            </w:r>
          </w:p>
        </w:tc>
        <w:tc>
          <w:tcPr>
            <w:tcW w:w="2790" w:type="dxa"/>
            <w:shd w:val="clear" w:color="auto" w:fill="auto"/>
          </w:tcPr>
          <w:p w14:paraId="364234A1" w14:textId="77777777" w:rsidR="00DA107A" w:rsidRPr="00823808" w:rsidRDefault="00DA107A" w:rsidP="0008386F">
            <w:pPr>
              <w:rPr>
                <w:szCs w:val="24"/>
              </w:rPr>
            </w:pPr>
            <w:r w:rsidRPr="00823808">
              <w:rPr>
                <w:szCs w:val="24"/>
              </w:rPr>
              <w:t>Article 16, supported by Standard of Practice 16-19</w:t>
            </w:r>
          </w:p>
        </w:tc>
        <w:tc>
          <w:tcPr>
            <w:tcW w:w="1890" w:type="dxa"/>
            <w:shd w:val="clear" w:color="auto" w:fill="auto"/>
          </w:tcPr>
          <w:p w14:paraId="24E9C5AE" w14:textId="77777777" w:rsidR="00DA107A" w:rsidRPr="00823808" w:rsidRDefault="00DA107A" w:rsidP="0008386F">
            <w:pPr>
              <w:rPr>
                <w:b/>
                <w:szCs w:val="24"/>
              </w:rPr>
            </w:pPr>
          </w:p>
        </w:tc>
        <w:tc>
          <w:tcPr>
            <w:tcW w:w="2520" w:type="dxa"/>
            <w:shd w:val="clear" w:color="auto" w:fill="auto"/>
          </w:tcPr>
          <w:p w14:paraId="375158BD" w14:textId="77777777" w:rsidR="00DA107A" w:rsidRPr="00823808" w:rsidRDefault="00DA107A" w:rsidP="0008386F">
            <w:pPr>
              <w:rPr>
                <w:b/>
                <w:szCs w:val="24"/>
              </w:rPr>
            </w:pPr>
          </w:p>
        </w:tc>
      </w:tr>
    </w:tbl>
    <w:p w14:paraId="36992088" w14:textId="77777777" w:rsidR="00DA107A" w:rsidRDefault="00DA107A" w:rsidP="00B548BF">
      <w:pPr>
        <w:rPr>
          <w:b/>
          <w:szCs w:val="24"/>
        </w:rPr>
      </w:pPr>
    </w:p>
    <w:p w14:paraId="2B81D4E1" w14:textId="77777777" w:rsidR="008A6EDB" w:rsidRDefault="008A6EDB" w:rsidP="00B548BF">
      <w:pPr>
        <w:rPr>
          <w:szCs w:val="24"/>
        </w:rPr>
      </w:pPr>
      <w:r>
        <w:rPr>
          <w:szCs w:val="24"/>
        </w:rPr>
        <w:t>Updated May 5, 2022</w:t>
      </w:r>
      <w:r w:rsidR="00493796">
        <w:rPr>
          <w:szCs w:val="24"/>
        </w:rPr>
        <w:t xml:space="preserve"> (underscoring indicates additions)</w:t>
      </w:r>
    </w:p>
    <w:p w14:paraId="2ED07C8D" w14:textId="77777777" w:rsidR="008A6EDB" w:rsidRPr="008A6EDB" w:rsidRDefault="008A6EDB" w:rsidP="00B548BF">
      <w:pPr>
        <w:rPr>
          <w:szCs w:val="24"/>
        </w:rPr>
      </w:pPr>
    </w:p>
    <w:p w14:paraId="0F470BA3" w14:textId="77777777" w:rsidR="00DA107A" w:rsidRDefault="00DA107A" w:rsidP="00DA107A">
      <w:pPr>
        <w:rPr>
          <w:szCs w:val="24"/>
        </w:rPr>
      </w:pPr>
      <w:r w:rsidRPr="00974083">
        <w:rPr>
          <w:b/>
          <w:szCs w:val="24"/>
        </w:rPr>
        <w:t xml:space="preserve">NOTE: </w:t>
      </w:r>
      <w:r w:rsidRPr="00974083">
        <w:rPr>
          <w:szCs w:val="24"/>
        </w:rPr>
        <w:t>Associations may adopt all or some of the above citations. No additional citations may be added.</w:t>
      </w:r>
      <w:r>
        <w:rPr>
          <w:szCs w:val="24"/>
        </w:rPr>
        <w:t xml:space="preserve"> Fines for each citable offense, as well as any possible training requirements, must be established in advance and should be followed consistently. </w:t>
      </w:r>
    </w:p>
    <w:p w14:paraId="33961A99" w14:textId="77777777" w:rsidR="00DA107A" w:rsidRPr="00974083" w:rsidRDefault="00DA107A" w:rsidP="00DA107A">
      <w:pPr>
        <w:rPr>
          <w:szCs w:val="24"/>
        </w:rPr>
      </w:pPr>
    </w:p>
    <w:p w14:paraId="208723C5" w14:textId="77777777" w:rsidR="00DA107A" w:rsidRDefault="00DA107A" w:rsidP="00DA107A">
      <w:pPr>
        <w:rPr>
          <w:szCs w:val="24"/>
        </w:rPr>
      </w:pPr>
      <w:r w:rsidRPr="00974083">
        <w:rPr>
          <w:szCs w:val="24"/>
        </w:rPr>
        <w:t xml:space="preserve">Associations, at their discretion, may </w:t>
      </w:r>
      <w:r>
        <w:rPr>
          <w:szCs w:val="24"/>
        </w:rPr>
        <w:t>adopt</w:t>
      </w:r>
      <w:r w:rsidRPr="00974083">
        <w:rPr>
          <w:szCs w:val="24"/>
        </w:rPr>
        <w:t xml:space="preserve"> an escalating fine schedule for repeat citations </w:t>
      </w:r>
      <w:proofErr w:type="gramStart"/>
      <w:r w:rsidRPr="00974083">
        <w:rPr>
          <w:szCs w:val="24"/>
        </w:rPr>
        <w:t>and also</w:t>
      </w:r>
      <w:proofErr w:type="gramEnd"/>
      <w:r w:rsidRPr="00974083">
        <w:rPr>
          <w:szCs w:val="24"/>
        </w:rPr>
        <w:t xml:space="preserve"> may impose a training requirement </w:t>
      </w:r>
      <w:r>
        <w:rPr>
          <w:szCs w:val="24"/>
        </w:rPr>
        <w:t xml:space="preserve">in addition to or </w:t>
      </w:r>
      <w:r w:rsidRPr="00974083">
        <w:rPr>
          <w:szCs w:val="24"/>
        </w:rPr>
        <w:t>as an alternative to payment of a fine for any of the citable offenses adopted.</w:t>
      </w:r>
      <w:r>
        <w:rPr>
          <w:szCs w:val="24"/>
        </w:rPr>
        <w:t xml:space="preserve"> If an escalating fine schedule is adopted, it may only be used in circumstances where citations are issued by the same association. </w:t>
      </w:r>
    </w:p>
    <w:p w14:paraId="7B73FB47" w14:textId="77777777" w:rsidR="00DA107A" w:rsidRPr="00974083" w:rsidRDefault="00DA107A" w:rsidP="00DA107A">
      <w:pPr>
        <w:rPr>
          <w:szCs w:val="24"/>
        </w:rPr>
      </w:pPr>
    </w:p>
    <w:p w14:paraId="2B7BD445" w14:textId="77777777" w:rsidR="00DA107A" w:rsidRDefault="00DA107A" w:rsidP="00DA107A">
      <w:pPr>
        <w:rPr>
          <w:szCs w:val="24"/>
        </w:rPr>
      </w:pPr>
      <w:r w:rsidRPr="00974083">
        <w:rPr>
          <w:szCs w:val="24"/>
        </w:rPr>
        <w:t xml:space="preserve">The amount of fine for any citation is at the option of the association, but aggregated fines levied against any member may not exceed $5,000 in any three (3) year period. </w:t>
      </w:r>
    </w:p>
    <w:p w14:paraId="488B301C" w14:textId="77777777" w:rsidR="00B548BF" w:rsidRDefault="00B548BF" w:rsidP="00DA107A">
      <w:pPr>
        <w:rPr>
          <w:szCs w:val="24"/>
        </w:rPr>
      </w:pPr>
    </w:p>
    <w:p w14:paraId="1EC1823B" w14:textId="77777777" w:rsidR="00B548BF" w:rsidRPr="00974083" w:rsidRDefault="00B548BF" w:rsidP="00B548BF">
      <w:pPr>
        <w:rPr>
          <w:szCs w:val="24"/>
        </w:rPr>
      </w:pPr>
    </w:p>
    <w:p w14:paraId="00ADE608" w14:textId="77777777" w:rsidR="00AB3DC1" w:rsidRPr="005F1072" w:rsidRDefault="00AB3DC1">
      <w:pPr>
        <w:rPr>
          <w:sz w:val="22"/>
        </w:rPr>
      </w:pPr>
    </w:p>
    <w:sectPr w:rsidR="00AB3DC1" w:rsidRPr="005F1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6E6F" w14:textId="77777777" w:rsidR="00E963D4" w:rsidRDefault="00E963D4" w:rsidP="005F1072">
      <w:r>
        <w:separator/>
      </w:r>
    </w:p>
  </w:endnote>
  <w:endnote w:type="continuationSeparator" w:id="0">
    <w:p w14:paraId="565248AF" w14:textId="77777777" w:rsidR="00E963D4" w:rsidRDefault="00E963D4" w:rsidP="005F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4750" w14:textId="77777777" w:rsidR="00DA107A" w:rsidRPr="00BA2C3C" w:rsidRDefault="00BA2C3C" w:rsidP="00BA2C3C">
    <w:pPr>
      <w:pStyle w:val="Footer"/>
      <w:jc w:val="center"/>
      <w:rPr>
        <w:b/>
        <w:sz w:val="22"/>
        <w:szCs w:val="22"/>
      </w:rPr>
    </w:pPr>
    <w:r w:rsidRPr="00BA2C3C">
      <w:rPr>
        <w:b/>
        <w:sz w:val="22"/>
        <w:szCs w:val="22"/>
      </w:rPr>
      <w:fldChar w:fldCharType="begin"/>
    </w:r>
    <w:r w:rsidRPr="00BA2C3C">
      <w:rPr>
        <w:b/>
        <w:sz w:val="22"/>
        <w:szCs w:val="22"/>
      </w:rPr>
      <w:instrText xml:space="preserve"> PAGE   \* MERGEFORMAT </w:instrText>
    </w:r>
    <w:r w:rsidRPr="00BA2C3C">
      <w:rPr>
        <w:b/>
        <w:sz w:val="22"/>
        <w:szCs w:val="22"/>
      </w:rPr>
      <w:fldChar w:fldCharType="separate"/>
    </w:r>
    <w:r w:rsidR="003209BE">
      <w:rPr>
        <w:b/>
        <w:noProof/>
        <w:sz w:val="22"/>
        <w:szCs w:val="22"/>
      </w:rPr>
      <w:t>7</w:t>
    </w:r>
    <w:r w:rsidRPr="00BA2C3C">
      <w:rPr>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007E" w14:textId="77777777" w:rsidR="00E963D4" w:rsidRDefault="00E963D4" w:rsidP="005F1072">
      <w:r>
        <w:separator/>
      </w:r>
    </w:p>
  </w:footnote>
  <w:footnote w:type="continuationSeparator" w:id="0">
    <w:p w14:paraId="7578E529" w14:textId="77777777" w:rsidR="00E963D4" w:rsidRDefault="00E963D4" w:rsidP="005F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8181" w14:textId="77777777" w:rsidR="00DA107A" w:rsidRPr="00712FCF" w:rsidRDefault="00DA107A" w:rsidP="0008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BE7"/>
    <w:multiLevelType w:val="hybridMultilevel"/>
    <w:tmpl w:val="9782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1059"/>
    <w:multiLevelType w:val="hybridMultilevel"/>
    <w:tmpl w:val="70E22AA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90216"/>
    <w:multiLevelType w:val="hybridMultilevel"/>
    <w:tmpl w:val="6688FAFE"/>
    <w:lvl w:ilvl="0" w:tplc="8B64E4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16D6A"/>
    <w:multiLevelType w:val="hybridMultilevel"/>
    <w:tmpl w:val="73D8967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D62A27"/>
    <w:multiLevelType w:val="hybridMultilevel"/>
    <w:tmpl w:val="C2C6BD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0578E5"/>
    <w:multiLevelType w:val="hybridMultilevel"/>
    <w:tmpl w:val="3B9C528E"/>
    <w:lvl w:ilvl="0" w:tplc="DB5C06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9439C"/>
    <w:multiLevelType w:val="hybridMultilevel"/>
    <w:tmpl w:val="18888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F4AC4"/>
    <w:multiLevelType w:val="hybridMultilevel"/>
    <w:tmpl w:val="E0582590"/>
    <w:lvl w:ilvl="0" w:tplc="914C872E">
      <w:start w:val="6"/>
      <w:numFmt w:val="lowerLetter"/>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20B5D"/>
    <w:multiLevelType w:val="hybridMultilevel"/>
    <w:tmpl w:val="2ACE97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B34AD2"/>
    <w:multiLevelType w:val="hybridMultilevel"/>
    <w:tmpl w:val="50C881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E59A4"/>
    <w:multiLevelType w:val="hybridMultilevel"/>
    <w:tmpl w:val="450C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23210"/>
    <w:multiLevelType w:val="hybridMultilevel"/>
    <w:tmpl w:val="8C668868"/>
    <w:lvl w:ilvl="0" w:tplc="9A2E68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30D26"/>
    <w:multiLevelType w:val="hybridMultilevel"/>
    <w:tmpl w:val="0E90FDC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DF038C"/>
    <w:multiLevelType w:val="hybridMultilevel"/>
    <w:tmpl w:val="2ED89FE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1F5F72"/>
    <w:multiLevelType w:val="hybridMultilevel"/>
    <w:tmpl w:val="DE4248AE"/>
    <w:lvl w:ilvl="0" w:tplc="D736DCA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3F031654"/>
    <w:multiLevelType w:val="hybridMultilevel"/>
    <w:tmpl w:val="B114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86166"/>
    <w:multiLevelType w:val="hybridMultilevel"/>
    <w:tmpl w:val="0054E600"/>
    <w:lvl w:ilvl="0" w:tplc="0C3CC144">
      <w:start w:val="2"/>
      <w:numFmt w:val="low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1366D"/>
    <w:multiLevelType w:val="hybridMultilevel"/>
    <w:tmpl w:val="55CA7650"/>
    <w:lvl w:ilvl="0" w:tplc="3FBC791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26968"/>
    <w:multiLevelType w:val="hybridMultilevel"/>
    <w:tmpl w:val="A6627952"/>
    <w:lvl w:ilvl="0" w:tplc="286C0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823B9"/>
    <w:multiLevelType w:val="hybridMultilevel"/>
    <w:tmpl w:val="3F6A3D50"/>
    <w:lvl w:ilvl="0" w:tplc="D736DC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CD01CE"/>
    <w:multiLevelType w:val="hybridMultilevel"/>
    <w:tmpl w:val="F0EC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460EC"/>
    <w:multiLevelType w:val="hybridMultilevel"/>
    <w:tmpl w:val="0374B846"/>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2" w15:restartNumberingAfterBreak="0">
    <w:nsid w:val="58C9630C"/>
    <w:multiLevelType w:val="hybridMultilevel"/>
    <w:tmpl w:val="70E22AA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07382F"/>
    <w:multiLevelType w:val="hybridMultilevel"/>
    <w:tmpl w:val="23C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C134A"/>
    <w:multiLevelType w:val="hybridMultilevel"/>
    <w:tmpl w:val="B2FCE618"/>
    <w:lvl w:ilvl="0" w:tplc="BF48A138">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720BA5"/>
    <w:multiLevelType w:val="hybridMultilevel"/>
    <w:tmpl w:val="DCD67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612F5"/>
    <w:multiLevelType w:val="hybridMultilevel"/>
    <w:tmpl w:val="16229FA8"/>
    <w:lvl w:ilvl="0" w:tplc="D736DC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EF1671"/>
    <w:multiLevelType w:val="hybridMultilevel"/>
    <w:tmpl w:val="2CDEA3E2"/>
    <w:lvl w:ilvl="0" w:tplc="286C0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995E9F"/>
    <w:multiLevelType w:val="hybridMultilevel"/>
    <w:tmpl w:val="6EE818B0"/>
    <w:lvl w:ilvl="0" w:tplc="D736DC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E5174A"/>
    <w:multiLevelType w:val="hybridMultilevel"/>
    <w:tmpl w:val="6298C86E"/>
    <w:lvl w:ilvl="0" w:tplc="11E4C3B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FC5EAA"/>
    <w:multiLevelType w:val="hybridMultilevel"/>
    <w:tmpl w:val="EC982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0240154">
    <w:abstractNumId w:val="23"/>
  </w:num>
  <w:num w:numId="2" w16cid:durableId="299502290">
    <w:abstractNumId w:val="25"/>
  </w:num>
  <w:num w:numId="3" w16cid:durableId="975986056">
    <w:abstractNumId w:val="14"/>
  </w:num>
  <w:num w:numId="4" w16cid:durableId="1940405460">
    <w:abstractNumId w:val="21"/>
  </w:num>
  <w:num w:numId="5" w16cid:durableId="1194927590">
    <w:abstractNumId w:val="29"/>
  </w:num>
  <w:num w:numId="6" w16cid:durableId="770008977">
    <w:abstractNumId w:val="17"/>
  </w:num>
  <w:num w:numId="7" w16cid:durableId="1853763712">
    <w:abstractNumId w:val="30"/>
  </w:num>
  <w:num w:numId="8" w16cid:durableId="1336762718">
    <w:abstractNumId w:val="26"/>
  </w:num>
  <w:num w:numId="9" w16cid:durableId="244917625">
    <w:abstractNumId w:val="24"/>
  </w:num>
  <w:num w:numId="10" w16cid:durableId="1190140188">
    <w:abstractNumId w:val="18"/>
  </w:num>
  <w:num w:numId="11" w16cid:durableId="2093039253">
    <w:abstractNumId w:val="11"/>
  </w:num>
  <w:num w:numId="12" w16cid:durableId="429351091">
    <w:abstractNumId w:val="16"/>
  </w:num>
  <w:num w:numId="13" w16cid:durableId="1889028931">
    <w:abstractNumId w:val="27"/>
  </w:num>
  <w:num w:numId="14" w16cid:durableId="118644369">
    <w:abstractNumId w:val="7"/>
  </w:num>
  <w:num w:numId="15" w16cid:durableId="866286118">
    <w:abstractNumId w:val="28"/>
  </w:num>
  <w:num w:numId="16" w16cid:durableId="1574241423">
    <w:abstractNumId w:val="5"/>
  </w:num>
  <w:num w:numId="17" w16cid:durableId="417096160">
    <w:abstractNumId w:val="0"/>
  </w:num>
  <w:num w:numId="18" w16cid:durableId="206112164">
    <w:abstractNumId w:val="19"/>
  </w:num>
  <w:num w:numId="19" w16cid:durableId="220791846">
    <w:abstractNumId w:val="20"/>
  </w:num>
  <w:num w:numId="20" w16cid:durableId="1658193718">
    <w:abstractNumId w:val="2"/>
  </w:num>
  <w:num w:numId="21" w16cid:durableId="1456950836">
    <w:abstractNumId w:val="15"/>
  </w:num>
  <w:num w:numId="22" w16cid:durableId="1441603668">
    <w:abstractNumId w:val="10"/>
  </w:num>
  <w:num w:numId="23" w16cid:durableId="1831216150">
    <w:abstractNumId w:val="4"/>
  </w:num>
  <w:num w:numId="24" w16cid:durableId="679502902">
    <w:abstractNumId w:val="22"/>
  </w:num>
  <w:num w:numId="25" w16cid:durableId="1151672516">
    <w:abstractNumId w:val="9"/>
  </w:num>
  <w:num w:numId="26" w16cid:durableId="1020592978">
    <w:abstractNumId w:val="6"/>
  </w:num>
  <w:num w:numId="27" w16cid:durableId="350256150">
    <w:abstractNumId w:val="12"/>
  </w:num>
  <w:num w:numId="28" w16cid:durableId="866483108">
    <w:abstractNumId w:val="13"/>
  </w:num>
  <w:num w:numId="29" w16cid:durableId="422996706">
    <w:abstractNumId w:val="8"/>
  </w:num>
  <w:num w:numId="30" w16cid:durableId="592781433">
    <w:abstractNumId w:val="1"/>
  </w:num>
  <w:num w:numId="31" w16cid:durableId="1792898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6226"/>
    <w:rsid w:val="000274A0"/>
    <w:rsid w:val="00066B1A"/>
    <w:rsid w:val="0008386F"/>
    <w:rsid w:val="000A5127"/>
    <w:rsid w:val="000A51C7"/>
    <w:rsid w:val="000A6CF5"/>
    <w:rsid w:val="000D60A8"/>
    <w:rsid w:val="0016658B"/>
    <w:rsid w:val="001967A2"/>
    <w:rsid w:val="001B043E"/>
    <w:rsid w:val="001C0A84"/>
    <w:rsid w:val="001C2D36"/>
    <w:rsid w:val="00202F07"/>
    <w:rsid w:val="00225079"/>
    <w:rsid w:val="00257BD8"/>
    <w:rsid w:val="003209BE"/>
    <w:rsid w:val="003742C0"/>
    <w:rsid w:val="00392902"/>
    <w:rsid w:val="003C1CC0"/>
    <w:rsid w:val="004042DA"/>
    <w:rsid w:val="00444573"/>
    <w:rsid w:val="00476A4E"/>
    <w:rsid w:val="00493796"/>
    <w:rsid w:val="004A043C"/>
    <w:rsid w:val="004B04A6"/>
    <w:rsid w:val="004D6727"/>
    <w:rsid w:val="004F3D02"/>
    <w:rsid w:val="00500EBA"/>
    <w:rsid w:val="0051683A"/>
    <w:rsid w:val="00543017"/>
    <w:rsid w:val="00547AB8"/>
    <w:rsid w:val="00592555"/>
    <w:rsid w:val="005F1072"/>
    <w:rsid w:val="005F7D80"/>
    <w:rsid w:val="00625B2D"/>
    <w:rsid w:val="00653343"/>
    <w:rsid w:val="006B0486"/>
    <w:rsid w:val="006C0824"/>
    <w:rsid w:val="007038AF"/>
    <w:rsid w:val="007325BF"/>
    <w:rsid w:val="00751238"/>
    <w:rsid w:val="007675F9"/>
    <w:rsid w:val="007F419B"/>
    <w:rsid w:val="0083666E"/>
    <w:rsid w:val="008A05FB"/>
    <w:rsid w:val="008A6EDB"/>
    <w:rsid w:val="008E02A5"/>
    <w:rsid w:val="008F7755"/>
    <w:rsid w:val="0091672F"/>
    <w:rsid w:val="00986737"/>
    <w:rsid w:val="00987869"/>
    <w:rsid w:val="009B4E5F"/>
    <w:rsid w:val="00A4049B"/>
    <w:rsid w:val="00A63ABD"/>
    <w:rsid w:val="00A737D9"/>
    <w:rsid w:val="00A80805"/>
    <w:rsid w:val="00AB3DC1"/>
    <w:rsid w:val="00AC79C8"/>
    <w:rsid w:val="00AD468C"/>
    <w:rsid w:val="00AE113E"/>
    <w:rsid w:val="00AE2512"/>
    <w:rsid w:val="00B3123B"/>
    <w:rsid w:val="00B36226"/>
    <w:rsid w:val="00B548BF"/>
    <w:rsid w:val="00B66084"/>
    <w:rsid w:val="00B73D13"/>
    <w:rsid w:val="00B95A8C"/>
    <w:rsid w:val="00BA2C3C"/>
    <w:rsid w:val="00BB4B47"/>
    <w:rsid w:val="00C431F7"/>
    <w:rsid w:val="00CE3730"/>
    <w:rsid w:val="00CF3F0B"/>
    <w:rsid w:val="00D42E07"/>
    <w:rsid w:val="00D606CD"/>
    <w:rsid w:val="00D93FC0"/>
    <w:rsid w:val="00D9505D"/>
    <w:rsid w:val="00DA107A"/>
    <w:rsid w:val="00E0748B"/>
    <w:rsid w:val="00E078C4"/>
    <w:rsid w:val="00E33912"/>
    <w:rsid w:val="00E51427"/>
    <w:rsid w:val="00E6139E"/>
    <w:rsid w:val="00E74EF9"/>
    <w:rsid w:val="00E93089"/>
    <w:rsid w:val="00E963D4"/>
    <w:rsid w:val="00EE2BB4"/>
    <w:rsid w:val="00EF481E"/>
    <w:rsid w:val="00F708DB"/>
    <w:rsid w:val="00FB2C7E"/>
    <w:rsid w:val="00FD5220"/>
    <w:rsid w:val="00FD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F1B95A"/>
  <w15:chartTrackingRefBased/>
  <w15:docId w15:val="{6383D8FB-CE49-4168-A48D-3D7EDD33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26"/>
    <w:rPr>
      <w:rFonts w:ascii="Times New Roman" w:eastAsia="Times New Roman" w:hAnsi="Times New Roman"/>
      <w:sz w:val="24"/>
      <w:szCs w:val="22"/>
    </w:rPr>
  </w:style>
  <w:style w:type="paragraph" w:styleId="Heading2">
    <w:name w:val="heading 2"/>
    <w:basedOn w:val="Normal"/>
    <w:link w:val="Heading2Char"/>
    <w:uiPriority w:val="9"/>
    <w:qFormat/>
    <w:rsid w:val="00F708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7D80"/>
    <w:pPr>
      <w:spacing w:after="120"/>
    </w:pPr>
    <w:rPr>
      <w:rFonts w:eastAsia="Calibri"/>
      <w:szCs w:val="24"/>
      <w:lang w:eastAsia="zh-CN"/>
    </w:rPr>
  </w:style>
  <w:style w:type="character" w:customStyle="1" w:styleId="BodyTextChar">
    <w:name w:val="Body Text Char"/>
    <w:link w:val="BodyText"/>
    <w:rsid w:val="005F7D80"/>
    <w:rPr>
      <w:rFonts w:ascii="Times New Roman" w:hAnsi="Times New Roman"/>
      <w:sz w:val="24"/>
      <w:szCs w:val="24"/>
      <w:lang w:eastAsia="zh-CN"/>
    </w:rPr>
  </w:style>
  <w:style w:type="paragraph" w:styleId="Header">
    <w:name w:val="header"/>
    <w:basedOn w:val="Normal"/>
    <w:link w:val="HeaderChar"/>
    <w:uiPriority w:val="99"/>
    <w:unhideWhenUsed/>
    <w:rsid w:val="005F7D80"/>
    <w:pPr>
      <w:tabs>
        <w:tab w:val="center" w:pos="4680"/>
        <w:tab w:val="right" w:pos="9360"/>
      </w:tabs>
    </w:pPr>
    <w:rPr>
      <w:rFonts w:eastAsia="Calibri"/>
      <w:szCs w:val="24"/>
      <w:lang w:eastAsia="zh-CN"/>
    </w:rPr>
  </w:style>
  <w:style w:type="character" w:customStyle="1" w:styleId="HeaderChar">
    <w:name w:val="Header Char"/>
    <w:link w:val="Header"/>
    <w:uiPriority w:val="99"/>
    <w:rsid w:val="005F7D80"/>
    <w:rPr>
      <w:rFonts w:ascii="Times New Roman" w:hAnsi="Times New Roman"/>
      <w:sz w:val="24"/>
      <w:szCs w:val="24"/>
      <w:lang w:eastAsia="zh-CN"/>
    </w:rPr>
  </w:style>
  <w:style w:type="paragraph" w:customStyle="1" w:styleId="letterlist">
    <w:name w:val="letter list"/>
    <w:basedOn w:val="Normal"/>
    <w:rsid w:val="005F7D80"/>
    <w:pPr>
      <w:ind w:left="288" w:hanging="288"/>
      <w:jc w:val="both"/>
    </w:pPr>
    <w:rPr>
      <w:rFonts w:ascii="Times" w:hAnsi="Times"/>
      <w:sz w:val="20"/>
      <w:szCs w:val="24"/>
    </w:rPr>
  </w:style>
  <w:style w:type="paragraph" w:styleId="Footer">
    <w:name w:val="footer"/>
    <w:basedOn w:val="Normal"/>
    <w:link w:val="FooterChar"/>
    <w:uiPriority w:val="99"/>
    <w:unhideWhenUsed/>
    <w:rsid w:val="00E74EF9"/>
    <w:pPr>
      <w:tabs>
        <w:tab w:val="center" w:pos="4680"/>
        <w:tab w:val="right" w:pos="9360"/>
      </w:tabs>
    </w:pPr>
    <w:rPr>
      <w:rFonts w:eastAsia="Calibri"/>
      <w:szCs w:val="24"/>
      <w:lang w:eastAsia="zh-CN"/>
    </w:rPr>
  </w:style>
  <w:style w:type="character" w:customStyle="1" w:styleId="FooterChar">
    <w:name w:val="Footer Char"/>
    <w:link w:val="Footer"/>
    <w:uiPriority w:val="99"/>
    <w:rsid w:val="00E74EF9"/>
    <w:rPr>
      <w:rFonts w:ascii="Times New Roman" w:hAnsi="Times New Roman"/>
      <w:sz w:val="24"/>
      <w:szCs w:val="24"/>
      <w:lang w:eastAsia="zh-CN"/>
    </w:rPr>
  </w:style>
  <w:style w:type="paragraph" w:customStyle="1" w:styleId="bulletlist">
    <w:name w:val="bullet list"/>
    <w:basedOn w:val="Normal"/>
    <w:rsid w:val="00E74EF9"/>
    <w:pPr>
      <w:ind w:left="144" w:hanging="108"/>
      <w:jc w:val="both"/>
    </w:pPr>
    <w:rPr>
      <w:rFonts w:ascii="Times" w:hAnsi="Times"/>
      <w:sz w:val="20"/>
      <w:szCs w:val="24"/>
    </w:rPr>
  </w:style>
  <w:style w:type="character" w:customStyle="1" w:styleId="Heading2Char">
    <w:name w:val="Heading 2 Char"/>
    <w:link w:val="Heading2"/>
    <w:uiPriority w:val="9"/>
    <w:rsid w:val="00F708DB"/>
    <w:rPr>
      <w:rFonts w:ascii="Times New Roman" w:eastAsia="Times New Roman" w:hAnsi="Times New Roman"/>
      <w:b/>
      <w:bCs/>
      <w:sz w:val="36"/>
      <w:szCs w:val="36"/>
    </w:rPr>
  </w:style>
  <w:style w:type="paragraph" w:styleId="NormalWeb">
    <w:name w:val="Normal (Web)"/>
    <w:basedOn w:val="Normal"/>
    <w:uiPriority w:val="99"/>
    <w:semiHidden/>
    <w:unhideWhenUsed/>
    <w:rsid w:val="00F708DB"/>
    <w:pPr>
      <w:spacing w:before="100" w:beforeAutospacing="1" w:after="100" w:afterAutospacing="1"/>
    </w:pPr>
    <w:rPr>
      <w:szCs w:val="24"/>
    </w:rPr>
  </w:style>
  <w:style w:type="character" w:styleId="Strong">
    <w:name w:val="Strong"/>
    <w:uiPriority w:val="22"/>
    <w:qFormat/>
    <w:rsid w:val="00F708DB"/>
    <w:rPr>
      <w:b/>
      <w:bCs/>
    </w:rPr>
  </w:style>
  <w:style w:type="paragraph" w:styleId="ListParagraph">
    <w:name w:val="List Paragraph"/>
    <w:basedOn w:val="Normal"/>
    <w:uiPriority w:val="34"/>
    <w:qFormat/>
    <w:rsid w:val="00DA107A"/>
    <w:pPr>
      <w:spacing w:after="200" w:line="276" w:lineRule="auto"/>
      <w:ind w:left="720"/>
      <w:contextualSpacing/>
    </w:pPr>
    <w:rPr>
      <w:rFonts w:ascii="Calibri" w:eastAsia="Calibri" w:hAnsi="Calibri"/>
      <w:sz w:val="22"/>
    </w:rPr>
  </w:style>
  <w:style w:type="paragraph" w:styleId="BalloonText">
    <w:name w:val="Balloon Text"/>
    <w:basedOn w:val="Normal"/>
    <w:link w:val="BalloonTextChar"/>
    <w:uiPriority w:val="99"/>
    <w:semiHidden/>
    <w:unhideWhenUsed/>
    <w:rsid w:val="001C2D36"/>
    <w:rPr>
      <w:rFonts w:ascii="Tahoma" w:hAnsi="Tahoma" w:cs="Tahoma"/>
      <w:sz w:val="16"/>
      <w:szCs w:val="16"/>
    </w:rPr>
  </w:style>
  <w:style w:type="character" w:customStyle="1" w:styleId="BalloonTextChar">
    <w:name w:val="Balloon Text Char"/>
    <w:link w:val="BalloonText"/>
    <w:uiPriority w:val="99"/>
    <w:semiHidden/>
    <w:rsid w:val="001C2D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85490">
      <w:bodyDiv w:val="1"/>
      <w:marLeft w:val="0"/>
      <w:marRight w:val="0"/>
      <w:marTop w:val="0"/>
      <w:marBottom w:val="0"/>
      <w:divBdr>
        <w:top w:val="none" w:sz="0" w:space="0" w:color="auto"/>
        <w:left w:val="none" w:sz="0" w:space="0" w:color="auto"/>
        <w:bottom w:val="none" w:sz="0" w:space="0" w:color="auto"/>
        <w:right w:val="none" w:sz="0" w:space="0" w:color="auto"/>
      </w:divBdr>
    </w:div>
    <w:div w:id="473759914">
      <w:bodyDiv w:val="1"/>
      <w:marLeft w:val="0"/>
      <w:marRight w:val="0"/>
      <w:marTop w:val="0"/>
      <w:marBottom w:val="0"/>
      <w:divBdr>
        <w:top w:val="none" w:sz="0" w:space="0" w:color="auto"/>
        <w:left w:val="none" w:sz="0" w:space="0" w:color="auto"/>
        <w:bottom w:val="none" w:sz="0" w:space="0" w:color="auto"/>
        <w:right w:val="none" w:sz="0" w:space="0" w:color="auto"/>
      </w:divBdr>
    </w:div>
    <w:div w:id="1138106609">
      <w:bodyDiv w:val="1"/>
      <w:marLeft w:val="0"/>
      <w:marRight w:val="0"/>
      <w:marTop w:val="0"/>
      <w:marBottom w:val="0"/>
      <w:divBdr>
        <w:top w:val="none" w:sz="0" w:space="0" w:color="auto"/>
        <w:left w:val="none" w:sz="0" w:space="0" w:color="auto"/>
        <w:bottom w:val="none" w:sz="0" w:space="0" w:color="auto"/>
        <w:right w:val="none" w:sz="0" w:space="0" w:color="auto"/>
      </w:divBdr>
    </w:div>
    <w:div w:id="1161316721">
      <w:bodyDiv w:val="1"/>
      <w:marLeft w:val="0"/>
      <w:marRight w:val="0"/>
      <w:marTop w:val="0"/>
      <w:marBottom w:val="0"/>
      <w:divBdr>
        <w:top w:val="none" w:sz="0" w:space="0" w:color="auto"/>
        <w:left w:val="none" w:sz="0" w:space="0" w:color="auto"/>
        <w:bottom w:val="none" w:sz="0" w:space="0" w:color="auto"/>
        <w:right w:val="none" w:sz="0" w:space="0" w:color="auto"/>
      </w:divBdr>
    </w:div>
    <w:div w:id="1789422366">
      <w:bodyDiv w:val="1"/>
      <w:marLeft w:val="0"/>
      <w:marRight w:val="0"/>
      <w:marTop w:val="0"/>
      <w:marBottom w:val="0"/>
      <w:divBdr>
        <w:top w:val="none" w:sz="0" w:space="0" w:color="auto"/>
        <w:left w:val="none" w:sz="0" w:space="0" w:color="auto"/>
        <w:bottom w:val="none" w:sz="0" w:space="0" w:color="auto"/>
        <w:right w:val="none" w:sz="0" w:space="0" w:color="auto"/>
      </w:divBdr>
    </w:div>
    <w:div w:id="1861698571">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21143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002a63-726d-4a42-8446-25c6bda585ef"/>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87188B-858D-4766-9D41-FFDEA82E8965}">
  <ds:schemaRefs>
    <ds:schemaRef ds:uri="http://schemas.microsoft.com/sharepoint/v3/contenttype/forms"/>
  </ds:schemaRefs>
</ds:datastoreItem>
</file>

<file path=customXml/itemProps2.xml><?xml version="1.0" encoding="utf-8"?>
<ds:datastoreItem xmlns:ds="http://schemas.openxmlformats.org/officeDocument/2006/customXml" ds:itemID="{FE5880B0-97E7-4410-AD95-240C75B9ACB3}">
  <ds:schemaRefs>
    <ds:schemaRef ds:uri="http://schemas.openxmlformats.org/officeDocument/2006/bibliography"/>
  </ds:schemaRefs>
</ds:datastoreItem>
</file>

<file path=customXml/itemProps3.xml><?xml version="1.0" encoding="utf-8"?>
<ds:datastoreItem xmlns:ds="http://schemas.openxmlformats.org/officeDocument/2006/customXml" ds:itemID="{E305D61E-6386-4928-B350-CE76097D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8EE28-166F-4622-AC31-7F7F772186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Pinnick</dc:creator>
  <cp:keywords/>
  <cp:lastModifiedBy>Christopher Harrigan</cp:lastModifiedBy>
  <cp:revision>2</cp:revision>
  <cp:lastPrinted>2015-04-13T21:50:00Z</cp:lastPrinted>
  <dcterms:created xsi:type="dcterms:W3CDTF">2025-07-15T14:56:00Z</dcterms:created>
  <dcterms:modified xsi:type="dcterms:W3CDTF">2025-07-15T14:56:00Z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