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8B949" w14:textId="3E0C5EF0" w:rsidR="00DC6723" w:rsidRDefault="00612C09" w:rsidP="00A87816">
      <w:r>
        <w:rPr>
          <w:b/>
          <w:sz w:val="28"/>
        </w:rPr>
        <w:t xml:space="preserve">Effective June 5, </w:t>
      </w:r>
      <w:proofErr w:type="gramStart"/>
      <w:r>
        <w:rPr>
          <w:b/>
          <w:sz w:val="28"/>
        </w:rPr>
        <w:t>2025</w:t>
      </w:r>
      <w:proofErr w:type="gramEnd"/>
      <w:r>
        <w:rPr>
          <w:b/>
          <w:sz w:val="28"/>
        </w:rPr>
        <w:t xml:space="preserve"> Revisions to the Code of Ethics and Standards of Practice</w:t>
      </w:r>
      <w:r w:rsidR="0001494A">
        <w:rPr>
          <w:b/>
          <w:sz w:val="28"/>
        </w:rPr>
        <w:t xml:space="preserve"> </w:t>
      </w:r>
    </w:p>
    <w:p w14:paraId="256B6036" w14:textId="77777777" w:rsidR="00D44554" w:rsidRDefault="00D44554" w:rsidP="00D44554">
      <w:pPr>
        <w:keepLines/>
        <w:pBdr>
          <w:bottom w:val="single" w:sz="12" w:space="1" w:color="auto"/>
        </w:pBdr>
        <w:spacing w:after="0" w:line="240" w:lineRule="auto"/>
      </w:pPr>
    </w:p>
    <w:p w14:paraId="482663A3" w14:textId="77777777" w:rsidR="00544C36" w:rsidRPr="00544C36" w:rsidRDefault="00544C36" w:rsidP="00544C36">
      <w:pPr>
        <w:autoSpaceDE w:val="0"/>
        <w:autoSpaceDN w:val="0"/>
        <w:adjustRightInd w:val="0"/>
        <w:spacing w:after="0" w:line="240" w:lineRule="auto"/>
        <w:rPr>
          <w:rFonts w:ascii="Calibri" w:hAnsi="Calibri" w:cs="Calibri"/>
          <w:color w:val="000000"/>
          <w:sz w:val="24"/>
          <w:szCs w:val="24"/>
        </w:rPr>
      </w:pPr>
    </w:p>
    <w:p w14:paraId="1A03C568" w14:textId="6C77CF5E" w:rsidR="005D50F7" w:rsidRPr="00220331" w:rsidRDefault="005D50F7" w:rsidP="00A81B35">
      <w:pPr>
        <w:pStyle w:val="ListParagraph"/>
        <w:numPr>
          <w:ilvl w:val="0"/>
          <w:numId w:val="20"/>
        </w:numPr>
        <w:spacing w:after="0" w:line="240" w:lineRule="auto"/>
        <w:rPr>
          <w:rFonts w:cs="Arial"/>
          <w:b/>
        </w:rPr>
      </w:pPr>
      <w:r w:rsidRPr="00220331">
        <w:rPr>
          <w:rFonts w:cs="Arial"/>
          <w:b/>
        </w:rPr>
        <w:t>Standard of Practice 1-12, (underscoring indicates additions, strikeouts indicate deletions):</w:t>
      </w:r>
    </w:p>
    <w:p w14:paraId="1DB8EBF1" w14:textId="77777777" w:rsidR="005D50F7" w:rsidRDefault="005D50F7" w:rsidP="005D50F7">
      <w:pPr>
        <w:rPr>
          <w:rFonts w:cs="Arial"/>
          <w:bCs/>
        </w:rPr>
      </w:pPr>
    </w:p>
    <w:p w14:paraId="5A404920" w14:textId="77777777" w:rsidR="005D50F7" w:rsidRPr="00220331" w:rsidRDefault="005D50F7" w:rsidP="005D50F7">
      <w:pPr>
        <w:pStyle w:val="BulletReg"/>
        <w:spacing w:line="276" w:lineRule="auto"/>
        <w:ind w:left="1440" w:firstLine="0"/>
        <w:rPr>
          <w:rFonts w:asciiTheme="minorHAnsi" w:hAnsiTheme="minorHAnsi" w:cstheme="minorHAnsi"/>
          <w:i/>
          <w:iCs/>
        </w:rPr>
      </w:pPr>
      <w:r w:rsidRPr="00220331">
        <w:rPr>
          <w:rFonts w:asciiTheme="minorHAnsi" w:hAnsiTheme="minorHAnsi" w:cstheme="minorHAnsi"/>
          <w:i/>
          <w:iCs/>
        </w:rPr>
        <w:t xml:space="preserve">When </w:t>
      </w:r>
      <w:proofErr w:type="gramStart"/>
      <w:r w:rsidRPr="00220331">
        <w:rPr>
          <w:rFonts w:asciiTheme="minorHAnsi" w:hAnsiTheme="minorHAnsi" w:cstheme="minorHAnsi"/>
          <w:i/>
          <w:iCs/>
        </w:rPr>
        <w:t>entering into</w:t>
      </w:r>
      <w:proofErr w:type="gramEnd"/>
      <w:r w:rsidRPr="00220331">
        <w:rPr>
          <w:rFonts w:asciiTheme="minorHAnsi" w:hAnsiTheme="minorHAnsi" w:cstheme="minorHAnsi"/>
          <w:i/>
          <w:iCs/>
        </w:rPr>
        <w:t xml:space="preserve"> listing contracts, REALTORS® must advise sellers/landlords of:</w:t>
      </w:r>
    </w:p>
    <w:p w14:paraId="6F4242E3" w14:textId="77777777" w:rsidR="005D50F7" w:rsidRPr="00220331" w:rsidRDefault="005D50F7" w:rsidP="005D50F7">
      <w:pPr>
        <w:pStyle w:val="NumberedList"/>
        <w:numPr>
          <w:ilvl w:val="0"/>
          <w:numId w:val="14"/>
        </w:numPr>
        <w:spacing w:line="276" w:lineRule="auto"/>
        <w:rPr>
          <w:rFonts w:asciiTheme="minorHAnsi" w:hAnsiTheme="minorHAnsi" w:cstheme="minorHAnsi"/>
          <w:i/>
          <w:iCs/>
          <w:szCs w:val="22"/>
        </w:rPr>
      </w:pPr>
      <w:r w:rsidRPr="00220331">
        <w:rPr>
          <w:rFonts w:asciiTheme="minorHAnsi" w:hAnsiTheme="minorHAnsi" w:cstheme="minorHAnsi"/>
          <w:i/>
          <w:iCs/>
          <w:szCs w:val="22"/>
        </w:rPr>
        <w:t xml:space="preserve">the REALTOR®’s company policies regarding cooperation </w:t>
      </w:r>
      <w:r w:rsidRPr="00220331">
        <w:rPr>
          <w:rFonts w:asciiTheme="minorHAnsi" w:hAnsiTheme="minorHAnsi" w:cstheme="minorHAnsi"/>
          <w:i/>
          <w:iCs/>
          <w:strike/>
          <w:szCs w:val="22"/>
        </w:rPr>
        <w:t xml:space="preserve">and the amount(s) of any compensation that will be offered to subagents, buyer/tenant agents, and/or brokers acting in legally recognized non-agency </w:t>
      </w:r>
      <w:proofErr w:type="gramStart"/>
      <w:r w:rsidRPr="00220331">
        <w:rPr>
          <w:rFonts w:asciiTheme="minorHAnsi" w:hAnsiTheme="minorHAnsi" w:cstheme="minorHAnsi"/>
          <w:i/>
          <w:iCs/>
          <w:strike/>
          <w:szCs w:val="22"/>
        </w:rPr>
        <w:t>capacities</w:t>
      </w:r>
      <w:r w:rsidRPr="00220331">
        <w:rPr>
          <w:rFonts w:asciiTheme="minorHAnsi" w:hAnsiTheme="minorHAnsi" w:cstheme="minorHAnsi"/>
          <w:i/>
          <w:iCs/>
          <w:szCs w:val="22"/>
        </w:rPr>
        <w:t>;</w:t>
      </w:r>
      <w:proofErr w:type="gramEnd"/>
    </w:p>
    <w:p w14:paraId="5C0CFEBE" w14:textId="77777777" w:rsidR="005D50F7" w:rsidRPr="00220331" w:rsidRDefault="005D50F7" w:rsidP="005D50F7">
      <w:pPr>
        <w:pStyle w:val="ListParagraph"/>
        <w:numPr>
          <w:ilvl w:val="0"/>
          <w:numId w:val="14"/>
        </w:numPr>
        <w:rPr>
          <w:rFonts w:cstheme="minorHAnsi"/>
          <w:i/>
          <w:iCs/>
          <w:u w:val="single"/>
        </w:rPr>
      </w:pPr>
      <w:r w:rsidRPr="00220331">
        <w:rPr>
          <w:rFonts w:cstheme="minorHAnsi"/>
          <w:i/>
          <w:iCs/>
          <w:u w:val="single"/>
        </w:rPr>
        <w:t xml:space="preserve">the fact that broker compensation is not set by law and is fully </w:t>
      </w:r>
      <w:proofErr w:type="gramStart"/>
      <w:r w:rsidRPr="00220331">
        <w:rPr>
          <w:rFonts w:cstheme="minorHAnsi"/>
          <w:i/>
          <w:iCs/>
          <w:u w:val="single"/>
        </w:rPr>
        <w:t>negotiable;</w:t>
      </w:r>
      <w:proofErr w:type="gramEnd"/>
    </w:p>
    <w:p w14:paraId="799597A9" w14:textId="77777777" w:rsidR="005D50F7" w:rsidRPr="00220331" w:rsidRDefault="005D50F7" w:rsidP="005D50F7">
      <w:pPr>
        <w:pStyle w:val="NumberedList"/>
        <w:numPr>
          <w:ilvl w:val="0"/>
          <w:numId w:val="14"/>
        </w:numPr>
        <w:spacing w:line="276" w:lineRule="auto"/>
        <w:rPr>
          <w:rFonts w:asciiTheme="minorHAnsi" w:hAnsiTheme="minorHAnsi" w:cstheme="minorHAnsi"/>
          <w:i/>
          <w:iCs/>
          <w:szCs w:val="22"/>
          <w:u w:val="single"/>
        </w:rPr>
      </w:pPr>
      <w:r w:rsidRPr="00220331">
        <w:rPr>
          <w:rFonts w:asciiTheme="minorHAnsi" w:hAnsiTheme="minorHAnsi" w:cstheme="minorHAnsi"/>
          <w:i/>
          <w:iCs/>
          <w:szCs w:val="22"/>
          <w:u w:val="single"/>
        </w:rPr>
        <w:t>The options and amounts of compensation, if any, that may be offered to subagents, buyer/tenant agents, and/or brokers acting in legally recognized non-agency capacities.</w:t>
      </w:r>
    </w:p>
    <w:p w14:paraId="7AE82A06" w14:textId="77777777" w:rsidR="005D50F7" w:rsidRPr="00220331" w:rsidRDefault="005D50F7" w:rsidP="005D50F7">
      <w:pPr>
        <w:pStyle w:val="NumberedList"/>
        <w:spacing w:line="276" w:lineRule="auto"/>
        <w:ind w:left="2160" w:hanging="720"/>
        <w:rPr>
          <w:rFonts w:asciiTheme="minorHAnsi" w:hAnsiTheme="minorHAnsi" w:cstheme="minorHAnsi"/>
          <w:i/>
          <w:iCs/>
          <w:szCs w:val="22"/>
        </w:rPr>
      </w:pPr>
      <w:r w:rsidRPr="00220331">
        <w:rPr>
          <w:rFonts w:asciiTheme="minorHAnsi" w:hAnsiTheme="minorHAnsi" w:cstheme="minorHAnsi"/>
          <w:i/>
          <w:iCs/>
          <w:strike/>
          <w:szCs w:val="22"/>
        </w:rPr>
        <w:t>2)</w:t>
      </w:r>
      <w:r w:rsidRPr="00220331">
        <w:rPr>
          <w:rFonts w:asciiTheme="minorHAnsi" w:hAnsiTheme="minorHAnsi" w:cstheme="minorHAnsi"/>
          <w:i/>
          <w:iCs/>
          <w:szCs w:val="22"/>
          <w:u w:val="single"/>
        </w:rPr>
        <w:t>4)</w:t>
      </w:r>
      <w:r w:rsidRPr="00220331">
        <w:rPr>
          <w:rFonts w:asciiTheme="minorHAnsi" w:hAnsiTheme="minorHAnsi" w:cstheme="minorHAnsi"/>
          <w:i/>
          <w:iCs/>
          <w:szCs w:val="22"/>
        </w:rPr>
        <w:tab/>
        <w:t>the fact that buyer/tenant agents or brokers, even if compensated by listing brokers, or by sellers/landlords may represent the interests of buyers/tenants; and</w:t>
      </w:r>
    </w:p>
    <w:p w14:paraId="37A11D4B" w14:textId="77777777" w:rsidR="005D50F7" w:rsidRDefault="005D50F7" w:rsidP="005D50F7">
      <w:pPr>
        <w:pStyle w:val="NumberedList"/>
        <w:spacing w:after="120" w:line="276" w:lineRule="auto"/>
        <w:ind w:left="2160" w:hanging="720"/>
        <w:rPr>
          <w:rFonts w:asciiTheme="minorHAnsi" w:hAnsiTheme="minorHAnsi" w:cstheme="minorHAnsi"/>
          <w:i/>
          <w:iCs/>
          <w:szCs w:val="22"/>
        </w:rPr>
      </w:pPr>
      <w:r w:rsidRPr="00220331">
        <w:rPr>
          <w:rFonts w:asciiTheme="minorHAnsi" w:hAnsiTheme="minorHAnsi" w:cstheme="minorHAnsi"/>
          <w:i/>
          <w:iCs/>
          <w:strike/>
          <w:szCs w:val="22"/>
        </w:rPr>
        <w:t>3)</w:t>
      </w:r>
      <w:r w:rsidRPr="00220331">
        <w:rPr>
          <w:rFonts w:asciiTheme="minorHAnsi" w:hAnsiTheme="minorHAnsi" w:cstheme="minorHAnsi"/>
          <w:i/>
          <w:iCs/>
          <w:szCs w:val="22"/>
          <w:u w:val="single"/>
        </w:rPr>
        <w:t>5)</w:t>
      </w:r>
      <w:r w:rsidRPr="00220331">
        <w:rPr>
          <w:rFonts w:asciiTheme="minorHAnsi" w:hAnsiTheme="minorHAnsi" w:cstheme="minorHAnsi"/>
          <w:i/>
          <w:iCs/>
          <w:szCs w:val="22"/>
        </w:rPr>
        <w:tab/>
        <w:t>any potential for listing brokers to act as disclosed dual agents, e.g., buyer/tenant agents. (Adopted 1/93, Renumbered 1/98, Amended 1/03)</w:t>
      </w:r>
    </w:p>
    <w:p w14:paraId="3AED9C7D" w14:textId="2AA47F0B" w:rsidR="005D50F7" w:rsidRDefault="005D50F7" w:rsidP="005D50F7">
      <w:r w:rsidRPr="00BF1A63">
        <w:rPr>
          <w:rFonts w:cstheme="minorHAnsi"/>
          <w:i/>
          <w:szCs w:val="48"/>
        </w:rPr>
        <w:t xml:space="preserve">Rationale: </w:t>
      </w:r>
      <w:r>
        <w:t xml:space="preserve">The amendments to Standards of Practice 1-12 and 1-13 reiterate </w:t>
      </w:r>
      <w:r w:rsidR="00CC45A6">
        <w:t>the</w:t>
      </w:r>
      <w:r>
        <w:t xml:space="preserve"> commitments agreed to in the settlement agreement regarding cooperative compensation and plainly and clearly reaffirm the fact that broker compensation remains fully negotiable</w:t>
      </w:r>
      <w:r w:rsidRPr="0088747A">
        <w:t>.</w:t>
      </w:r>
    </w:p>
    <w:p w14:paraId="489943DF" w14:textId="77777777" w:rsidR="005D50F7" w:rsidRPr="00032A15" w:rsidRDefault="005D50F7" w:rsidP="005D50F7"/>
    <w:p w14:paraId="3ACDA165" w14:textId="7FA6405A" w:rsidR="005D50F7" w:rsidRPr="00220331" w:rsidRDefault="005D50F7" w:rsidP="00A81B35">
      <w:pPr>
        <w:pStyle w:val="ListParagraph"/>
        <w:numPr>
          <w:ilvl w:val="0"/>
          <w:numId w:val="20"/>
        </w:numPr>
        <w:spacing w:after="0" w:line="240" w:lineRule="auto"/>
        <w:rPr>
          <w:rFonts w:cs="Arial"/>
          <w:b/>
        </w:rPr>
      </w:pPr>
      <w:r w:rsidRPr="00220331">
        <w:rPr>
          <w:rFonts w:cs="Arial"/>
          <w:b/>
        </w:rPr>
        <w:t>Standard of Practice 1-13, (underscoring indicates additions, strikeouts indicate deletions):</w:t>
      </w:r>
    </w:p>
    <w:p w14:paraId="3D43DE2A" w14:textId="77777777" w:rsidR="00A81B35" w:rsidRDefault="00A81B35" w:rsidP="00A21C77">
      <w:pPr>
        <w:spacing w:line="276" w:lineRule="auto"/>
        <w:rPr>
          <w:rFonts w:cs="Arial"/>
          <w:i/>
          <w:iCs/>
        </w:rPr>
      </w:pPr>
    </w:p>
    <w:p w14:paraId="375478F3" w14:textId="29EE7D26" w:rsidR="005D50F7" w:rsidRPr="00A21C77" w:rsidRDefault="00A21C77" w:rsidP="00A21C77">
      <w:pPr>
        <w:spacing w:line="276" w:lineRule="auto"/>
        <w:rPr>
          <w:rFonts w:cs="Arial"/>
          <w:i/>
          <w:iCs/>
        </w:rPr>
      </w:pPr>
      <w:r>
        <w:rPr>
          <w:rFonts w:cs="Arial"/>
          <w:i/>
          <w:iCs/>
        </w:rPr>
        <w:t xml:space="preserve">               </w:t>
      </w:r>
      <w:r w:rsidR="005D50F7" w:rsidRPr="00A21C77">
        <w:rPr>
          <w:rFonts w:cs="Arial"/>
          <w:i/>
          <w:iCs/>
        </w:rPr>
        <w:t>When entering into buyer/tenant agreements, Realtors® must advise potential clients of:</w:t>
      </w:r>
    </w:p>
    <w:p w14:paraId="3EB0C5F0" w14:textId="77777777" w:rsidR="005D50F7" w:rsidRPr="00500422" w:rsidRDefault="005D50F7" w:rsidP="005D50F7">
      <w:pPr>
        <w:pStyle w:val="ListParagraph"/>
        <w:numPr>
          <w:ilvl w:val="0"/>
          <w:numId w:val="15"/>
        </w:numPr>
        <w:spacing w:line="276" w:lineRule="auto"/>
        <w:rPr>
          <w:rFonts w:cs="Arial"/>
          <w:i/>
          <w:iCs/>
        </w:rPr>
      </w:pPr>
      <w:r w:rsidRPr="00500422">
        <w:rPr>
          <w:rFonts w:cs="Arial"/>
          <w:i/>
          <w:iCs/>
        </w:rPr>
        <w:t xml:space="preserve">the Realtor® ’s company policies regarding </w:t>
      </w:r>
      <w:proofErr w:type="gramStart"/>
      <w:r w:rsidRPr="00500422">
        <w:rPr>
          <w:rFonts w:cs="Arial"/>
          <w:i/>
          <w:iCs/>
        </w:rPr>
        <w:t>cooperation;</w:t>
      </w:r>
      <w:proofErr w:type="gramEnd"/>
      <w:r w:rsidRPr="00500422">
        <w:rPr>
          <w:rFonts w:cs="Arial"/>
          <w:i/>
          <w:iCs/>
        </w:rPr>
        <w:t xml:space="preserve"> </w:t>
      </w:r>
    </w:p>
    <w:p w14:paraId="1EA662DA" w14:textId="77777777" w:rsidR="005D50F7" w:rsidRPr="00500422" w:rsidRDefault="005D50F7" w:rsidP="005D50F7">
      <w:pPr>
        <w:pStyle w:val="ListParagraph"/>
        <w:numPr>
          <w:ilvl w:val="0"/>
          <w:numId w:val="15"/>
        </w:numPr>
        <w:spacing w:line="276" w:lineRule="auto"/>
        <w:rPr>
          <w:rFonts w:cs="Arial"/>
          <w:i/>
          <w:iCs/>
          <w:u w:val="single"/>
        </w:rPr>
      </w:pPr>
      <w:r w:rsidRPr="00500422">
        <w:rPr>
          <w:rFonts w:cs="Arial"/>
          <w:i/>
          <w:iCs/>
          <w:u w:val="single"/>
        </w:rPr>
        <w:t xml:space="preserve">the fact that broker compensation is not set by law and is fully </w:t>
      </w:r>
      <w:proofErr w:type="gramStart"/>
      <w:r w:rsidRPr="00500422">
        <w:rPr>
          <w:rFonts w:cs="Arial"/>
          <w:i/>
          <w:iCs/>
          <w:u w:val="single"/>
        </w:rPr>
        <w:t>negotiable;</w:t>
      </w:r>
      <w:proofErr w:type="gramEnd"/>
    </w:p>
    <w:p w14:paraId="702B16CA" w14:textId="77777777" w:rsidR="005D50F7" w:rsidRPr="00500422" w:rsidRDefault="005D50F7" w:rsidP="005D50F7">
      <w:pPr>
        <w:pStyle w:val="ListParagraph"/>
        <w:numPr>
          <w:ilvl w:val="0"/>
          <w:numId w:val="15"/>
        </w:numPr>
        <w:spacing w:line="276" w:lineRule="auto"/>
        <w:rPr>
          <w:rFonts w:cs="Arial"/>
          <w:i/>
          <w:iCs/>
        </w:rPr>
      </w:pPr>
      <w:r w:rsidRPr="00500422">
        <w:rPr>
          <w:rFonts w:cs="Arial"/>
          <w:i/>
          <w:iCs/>
        </w:rPr>
        <w:t xml:space="preserve">the amount of compensation to be paid by the client, </w:t>
      </w:r>
      <w:r w:rsidRPr="00500422">
        <w:rPr>
          <w:rFonts w:cs="Arial"/>
          <w:i/>
          <w:iCs/>
          <w:u w:val="single"/>
        </w:rPr>
        <w:t xml:space="preserve">if </w:t>
      </w:r>
      <w:proofErr w:type="gramStart"/>
      <w:r w:rsidRPr="00500422">
        <w:rPr>
          <w:rFonts w:cs="Arial"/>
          <w:i/>
          <w:iCs/>
          <w:u w:val="single"/>
        </w:rPr>
        <w:t>any;</w:t>
      </w:r>
      <w:proofErr w:type="gramEnd"/>
    </w:p>
    <w:p w14:paraId="40163C2B" w14:textId="77777777" w:rsidR="005D50F7" w:rsidRPr="00500422" w:rsidRDefault="005D50F7" w:rsidP="005D50F7">
      <w:pPr>
        <w:pStyle w:val="ListParagraph"/>
        <w:numPr>
          <w:ilvl w:val="0"/>
          <w:numId w:val="15"/>
        </w:numPr>
        <w:spacing w:line="276" w:lineRule="auto"/>
        <w:rPr>
          <w:rFonts w:cs="Arial"/>
          <w:i/>
          <w:iCs/>
        </w:rPr>
      </w:pPr>
      <w:r w:rsidRPr="00500422">
        <w:rPr>
          <w:rFonts w:cs="Arial"/>
          <w:i/>
          <w:iCs/>
        </w:rPr>
        <w:t xml:space="preserve">the potential for additional or offsetting compensation from other brokers, from the seller or landlord, or from other </w:t>
      </w:r>
      <w:proofErr w:type="gramStart"/>
      <w:r w:rsidRPr="00500422">
        <w:rPr>
          <w:rFonts w:cs="Arial"/>
          <w:i/>
          <w:iCs/>
        </w:rPr>
        <w:t>parties;</w:t>
      </w:r>
      <w:proofErr w:type="gramEnd"/>
      <w:r w:rsidRPr="00500422">
        <w:rPr>
          <w:rFonts w:cs="Arial"/>
          <w:i/>
          <w:iCs/>
        </w:rPr>
        <w:t xml:space="preserve"> </w:t>
      </w:r>
    </w:p>
    <w:p w14:paraId="300F0FF8" w14:textId="77777777" w:rsidR="005D50F7" w:rsidRDefault="005D50F7" w:rsidP="005D50F7">
      <w:pPr>
        <w:pStyle w:val="ListParagraph"/>
        <w:numPr>
          <w:ilvl w:val="0"/>
          <w:numId w:val="15"/>
        </w:numPr>
        <w:spacing w:line="276" w:lineRule="auto"/>
        <w:rPr>
          <w:rFonts w:cs="Arial"/>
          <w:i/>
          <w:iCs/>
        </w:rPr>
      </w:pPr>
      <w:r w:rsidRPr="00500422">
        <w:rPr>
          <w:rFonts w:cs="Arial"/>
          <w:i/>
          <w:iCs/>
        </w:rPr>
        <w:t xml:space="preserve">any potential for the buyer/tenant representative to act as a disclosed dual agent, e.g., listing broker, subagent, landlord’s agent, etc.; and </w:t>
      </w:r>
    </w:p>
    <w:p w14:paraId="29790F8D" w14:textId="5945B277" w:rsidR="004F0C54" w:rsidRPr="00D77D2B" w:rsidRDefault="005D50F7" w:rsidP="00842D66">
      <w:pPr>
        <w:pStyle w:val="ListParagraph"/>
        <w:numPr>
          <w:ilvl w:val="0"/>
          <w:numId w:val="15"/>
        </w:numPr>
        <w:rPr>
          <w:rFonts w:cstheme="minorHAnsi"/>
          <w:color w:val="000000"/>
          <w:sz w:val="24"/>
          <w:szCs w:val="24"/>
        </w:rPr>
      </w:pPr>
      <w:r w:rsidRPr="00842D66">
        <w:rPr>
          <w:rFonts w:cs="Arial"/>
          <w:i/>
          <w:iCs/>
        </w:rPr>
        <w:t>the possibility that sellers or sellers’ representatives may not treat the existence, terms, or conditions of offers as confidential unless confidentiality is required by law, regulation, or by any confidentiality agreement between the parties. (Adopted 1/93, Renumbered 1/98, Amended</w:t>
      </w:r>
      <w:r w:rsidR="000B7DC1">
        <w:rPr>
          <w:rFonts w:cs="Arial"/>
          <w:i/>
          <w:iCs/>
        </w:rPr>
        <w:t xml:space="preserve"> 1/06)</w:t>
      </w:r>
    </w:p>
    <w:p w14:paraId="6ABB55F2" w14:textId="50FBDA06" w:rsidR="00FE1CE6" w:rsidRDefault="00FE1CE6" w:rsidP="009B39E0">
      <w:r w:rsidRPr="009B39E0">
        <w:rPr>
          <w:rFonts w:cstheme="minorHAnsi"/>
          <w:i/>
          <w:szCs w:val="48"/>
        </w:rPr>
        <w:t xml:space="preserve">Rationale: </w:t>
      </w:r>
      <w:r>
        <w:t xml:space="preserve">The amendments to Standards of Practice 1-12 and 1-13 reiterate </w:t>
      </w:r>
      <w:r w:rsidR="00CC45A6">
        <w:t>the</w:t>
      </w:r>
      <w:r>
        <w:t xml:space="preserve"> commitments agreed to in the settlement agreement regarding cooperative compensation and plainly and clearly reaffirm the fact that broker compensation remains fully negotiable</w:t>
      </w:r>
      <w:r w:rsidRPr="0088747A">
        <w:t>.</w:t>
      </w:r>
    </w:p>
    <w:p w14:paraId="7F0F39C5" w14:textId="1AC200F9" w:rsidR="00051879" w:rsidRDefault="00051879">
      <w:pPr>
        <w:rPr>
          <w:rFonts w:cstheme="minorHAnsi"/>
          <w:color w:val="000000"/>
          <w:sz w:val="24"/>
          <w:szCs w:val="24"/>
        </w:rPr>
      </w:pPr>
      <w:r>
        <w:rPr>
          <w:rFonts w:cstheme="minorHAnsi"/>
          <w:color w:val="000000"/>
          <w:sz w:val="24"/>
          <w:szCs w:val="24"/>
        </w:rPr>
        <w:br w:type="page"/>
      </w:r>
    </w:p>
    <w:p w14:paraId="1FAC1671" w14:textId="77777777" w:rsidR="00D77D2B" w:rsidRPr="00D77D2B" w:rsidRDefault="00D77D2B" w:rsidP="00D77D2B">
      <w:pPr>
        <w:ind w:left="1080"/>
        <w:rPr>
          <w:rFonts w:cstheme="minorHAnsi"/>
          <w:color w:val="000000"/>
          <w:sz w:val="24"/>
          <w:szCs w:val="24"/>
        </w:rPr>
      </w:pPr>
    </w:p>
    <w:p w14:paraId="54A08962" w14:textId="2FEB620C" w:rsidR="002B7705" w:rsidRPr="00172C87" w:rsidRDefault="002B7705" w:rsidP="00A81B35">
      <w:pPr>
        <w:pStyle w:val="ListParagraph"/>
        <w:numPr>
          <w:ilvl w:val="0"/>
          <w:numId w:val="20"/>
        </w:numPr>
        <w:spacing w:after="0" w:line="240" w:lineRule="auto"/>
        <w:rPr>
          <w:rFonts w:cstheme="minorHAnsi"/>
          <w:b/>
        </w:rPr>
      </w:pPr>
      <w:r w:rsidRPr="00172C87">
        <w:rPr>
          <w:rFonts w:cstheme="minorHAnsi"/>
          <w:b/>
        </w:rPr>
        <w:t>Standard of Practice 1-16</w:t>
      </w:r>
      <w:r w:rsidR="007C7337">
        <w:rPr>
          <w:rFonts w:cstheme="minorHAnsi"/>
          <w:b/>
        </w:rPr>
        <w:t>,</w:t>
      </w:r>
      <w:r w:rsidRPr="00172C87">
        <w:rPr>
          <w:rFonts w:cstheme="minorHAnsi"/>
          <w:b/>
        </w:rPr>
        <w:t xml:space="preserve"> (underscoring indicates additions, strikeouts indicate deletions):</w:t>
      </w:r>
    </w:p>
    <w:p w14:paraId="2DC358A2" w14:textId="77777777" w:rsidR="002B7705" w:rsidRPr="00172C87" w:rsidRDefault="002B7705" w:rsidP="002B7705">
      <w:pPr>
        <w:pStyle w:val="ListParagraph"/>
        <w:spacing w:after="0" w:line="240" w:lineRule="auto"/>
        <w:rPr>
          <w:rFonts w:cstheme="minorHAnsi"/>
          <w:bCs/>
        </w:rPr>
      </w:pPr>
    </w:p>
    <w:p w14:paraId="3A2C0523" w14:textId="77777777" w:rsidR="002B7705" w:rsidRDefault="002B7705" w:rsidP="002B7705">
      <w:pPr>
        <w:ind w:left="1440"/>
        <w:rPr>
          <w:rFonts w:cstheme="minorHAnsi"/>
          <w:bCs/>
          <w:i/>
          <w:iCs/>
        </w:rPr>
      </w:pPr>
      <w:r w:rsidRPr="00172C87">
        <w:rPr>
          <w:rFonts w:cstheme="minorHAnsi"/>
          <w:bCs/>
          <w:i/>
          <w:iCs/>
          <w:u w:val="single"/>
        </w:rPr>
        <w:t>When acting as a listing broker or property manager</w:t>
      </w:r>
      <w:r w:rsidRPr="00172C87">
        <w:rPr>
          <w:rFonts w:cstheme="minorHAnsi"/>
          <w:bCs/>
          <w:i/>
          <w:iCs/>
        </w:rPr>
        <w:t xml:space="preserve">, REALTORS® shall not access or use, or permit or enable others to access or use, </w:t>
      </w:r>
      <w:r w:rsidRPr="00172C87">
        <w:rPr>
          <w:rFonts w:cstheme="minorHAnsi"/>
          <w:bCs/>
          <w:i/>
          <w:iCs/>
          <w:strike/>
        </w:rPr>
        <w:t>listed or managed</w:t>
      </w:r>
      <w:r w:rsidRPr="00172C87">
        <w:rPr>
          <w:rFonts w:cstheme="minorHAnsi"/>
          <w:bCs/>
          <w:i/>
          <w:iCs/>
        </w:rPr>
        <w:t xml:space="preserve"> property on terms or conditions other than those </w:t>
      </w:r>
      <w:r w:rsidRPr="00172C87">
        <w:rPr>
          <w:rFonts w:cstheme="minorHAnsi"/>
          <w:bCs/>
          <w:i/>
          <w:iCs/>
          <w:strike/>
        </w:rPr>
        <w:t>authorized</w:t>
      </w:r>
      <w:r w:rsidRPr="00172C87">
        <w:rPr>
          <w:rFonts w:cstheme="minorHAnsi"/>
          <w:bCs/>
          <w:i/>
          <w:iCs/>
        </w:rPr>
        <w:t xml:space="preserve"> </w:t>
      </w:r>
      <w:r w:rsidRPr="00172C87">
        <w:rPr>
          <w:rFonts w:cstheme="minorHAnsi"/>
          <w:bCs/>
          <w:i/>
          <w:iCs/>
          <w:u w:val="single"/>
        </w:rPr>
        <w:t xml:space="preserve">established </w:t>
      </w:r>
      <w:r w:rsidRPr="00172C87">
        <w:rPr>
          <w:rFonts w:cstheme="minorHAnsi"/>
          <w:bCs/>
          <w:i/>
          <w:iCs/>
        </w:rPr>
        <w:t>by the owner or seller.</w:t>
      </w:r>
    </w:p>
    <w:p w14:paraId="3934A4A0" w14:textId="1AE48389" w:rsidR="00B05E8B" w:rsidRPr="00660133" w:rsidRDefault="00B05E8B" w:rsidP="00B05E8B">
      <w:r w:rsidRPr="00032A15">
        <w:rPr>
          <w:rFonts w:cstheme="minorHAnsi"/>
          <w:i/>
          <w:szCs w:val="48"/>
        </w:rPr>
        <w:t>Rationale:</w:t>
      </w:r>
      <w:r>
        <w:t xml:space="preserve"> Th</w:t>
      </w:r>
      <w:r w:rsidR="00903E95">
        <w:t>is</w:t>
      </w:r>
      <w:r>
        <w:t xml:space="preserve"> amendment </w:t>
      </w:r>
      <w:r>
        <w:rPr>
          <w:rFonts w:cs="Arial"/>
        </w:rPr>
        <w:t>clarif</w:t>
      </w:r>
      <w:r w:rsidR="00903E95">
        <w:rPr>
          <w:rFonts w:cs="Arial"/>
        </w:rPr>
        <w:t>ies</w:t>
      </w:r>
      <w:r>
        <w:rPr>
          <w:rFonts w:cs="Arial"/>
        </w:rPr>
        <w:t xml:space="preserve"> the difference between two similar and often confusing Standards of Practice, plainly stating that Standard of Practice 1-16 applies to those acting as listing brokers or property managers, while Standard of Practice 3-9 applies to those acting as cooperating brokers or in capacities other than listing brokers or property managers.  </w:t>
      </w:r>
    </w:p>
    <w:p w14:paraId="65B0FADF" w14:textId="77777777" w:rsidR="00132D7C" w:rsidRPr="00172C87" w:rsidRDefault="00132D7C" w:rsidP="002B7705">
      <w:pPr>
        <w:ind w:left="1440"/>
        <w:rPr>
          <w:rFonts w:cstheme="minorHAnsi"/>
          <w:bCs/>
          <w:i/>
          <w:iCs/>
        </w:rPr>
      </w:pPr>
    </w:p>
    <w:p w14:paraId="2EE1A50F" w14:textId="3A66AB83" w:rsidR="0002028A" w:rsidRPr="00220331" w:rsidRDefault="0002028A" w:rsidP="00A81B35">
      <w:pPr>
        <w:pStyle w:val="ListParagraph"/>
        <w:numPr>
          <w:ilvl w:val="0"/>
          <w:numId w:val="20"/>
        </w:numPr>
        <w:spacing w:after="0" w:line="240" w:lineRule="auto"/>
        <w:rPr>
          <w:rFonts w:cs="Arial"/>
          <w:b/>
        </w:rPr>
      </w:pPr>
      <w:r w:rsidRPr="00220331">
        <w:rPr>
          <w:rFonts w:cs="Arial"/>
          <w:b/>
        </w:rPr>
        <w:t>Standard of Practice 3-1, (underscoring indicates additions, strikeouts indicate deletions):</w:t>
      </w:r>
    </w:p>
    <w:p w14:paraId="2185FA1B" w14:textId="77777777" w:rsidR="0002028A" w:rsidRPr="00220331" w:rsidRDefault="0002028A" w:rsidP="0002028A">
      <w:pPr>
        <w:pStyle w:val="ListParagraph"/>
        <w:rPr>
          <w:rFonts w:cstheme="minorHAnsi"/>
          <w:bCs/>
        </w:rPr>
      </w:pPr>
    </w:p>
    <w:p w14:paraId="2BD8A67E" w14:textId="77777777" w:rsidR="0002028A" w:rsidRDefault="0002028A" w:rsidP="0002028A">
      <w:pPr>
        <w:ind w:left="1440"/>
        <w:rPr>
          <w:rFonts w:cstheme="minorHAnsi"/>
          <w:i/>
          <w:iCs/>
        </w:rPr>
      </w:pPr>
      <w:r>
        <w:rPr>
          <w:rFonts w:cstheme="minorHAnsi"/>
          <w:i/>
          <w:iCs/>
          <w:strike/>
        </w:rPr>
        <w:t xml:space="preserve">REALTORS®, </w:t>
      </w:r>
      <w:r w:rsidRPr="00B06543">
        <w:rPr>
          <w:rFonts w:cstheme="minorHAnsi"/>
          <w:i/>
          <w:iCs/>
          <w:u w:val="single"/>
        </w:rPr>
        <w:t>When</w:t>
      </w:r>
      <w:r w:rsidRPr="00220331">
        <w:rPr>
          <w:rFonts w:cstheme="minorHAnsi"/>
          <w:i/>
          <w:iCs/>
        </w:rPr>
        <w:t xml:space="preserve"> acting as exclusive agents or brokers </w:t>
      </w:r>
      <w:r w:rsidRPr="00932792">
        <w:rPr>
          <w:rFonts w:cstheme="minorHAnsi"/>
          <w:i/>
          <w:iCs/>
        </w:rPr>
        <w:t>of sellers</w:t>
      </w:r>
      <w:r>
        <w:rPr>
          <w:rFonts w:cstheme="minorHAnsi"/>
          <w:i/>
          <w:iCs/>
        </w:rPr>
        <w:t>/</w:t>
      </w:r>
      <w:r w:rsidRPr="00932792">
        <w:rPr>
          <w:rFonts w:cstheme="minorHAnsi"/>
          <w:i/>
          <w:iCs/>
        </w:rPr>
        <w:t xml:space="preserve"> landlords</w:t>
      </w:r>
      <w:r w:rsidRPr="00220331">
        <w:rPr>
          <w:rFonts w:cstheme="minorHAnsi"/>
          <w:i/>
          <w:iCs/>
        </w:rPr>
        <w:t xml:space="preserve">, REALTORS® </w:t>
      </w:r>
      <w:r w:rsidRPr="00220331">
        <w:rPr>
          <w:rFonts w:cstheme="minorHAnsi"/>
          <w:i/>
          <w:iCs/>
          <w:u w:val="single"/>
        </w:rPr>
        <w:t>will work with sellers/landlords to</w:t>
      </w:r>
      <w:r w:rsidRPr="00220331">
        <w:rPr>
          <w:rFonts w:cstheme="minorHAnsi"/>
          <w:i/>
          <w:iCs/>
        </w:rPr>
        <w:t xml:space="preserve"> establish the terms and conditions of offers to cooperate. Unless expressly indicated in offers to cooperate, cooperating brokers may not assume that the offer of cooperation includes an offer of compensation. </w:t>
      </w:r>
      <w:r w:rsidRPr="00E16837">
        <w:rPr>
          <w:rFonts w:cstheme="minorHAnsi"/>
          <w:i/>
          <w:iCs/>
          <w:strike/>
        </w:rPr>
        <w:t>Terms of compensation, if any, shall be ascertained by cooperating brokers before beginning efforts to accept the offer of cooperation.</w:t>
      </w:r>
      <w:r w:rsidRPr="00220331">
        <w:rPr>
          <w:rFonts w:cstheme="minorHAnsi"/>
          <w:i/>
          <w:iCs/>
        </w:rPr>
        <w:t xml:space="preserve"> (Amended 1/99)</w:t>
      </w:r>
    </w:p>
    <w:p w14:paraId="3177EA98" w14:textId="77777777" w:rsidR="0002028A" w:rsidRDefault="0002028A" w:rsidP="0002028A">
      <w:pPr>
        <w:rPr>
          <w:rFonts w:cstheme="minorHAnsi"/>
        </w:rPr>
      </w:pPr>
      <w:r w:rsidRPr="00C417B5">
        <w:rPr>
          <w:rFonts w:cstheme="minorHAnsi"/>
          <w:i/>
          <w:iCs/>
        </w:rPr>
        <w:t>Rationale:</w:t>
      </w:r>
      <w:r w:rsidRPr="00E822D2">
        <w:rPr>
          <w:rFonts w:cstheme="minorHAnsi"/>
        </w:rPr>
        <w:t xml:space="preserve"> </w:t>
      </w:r>
      <w:r>
        <w:rPr>
          <w:rFonts w:cstheme="minorHAnsi"/>
        </w:rPr>
        <w:t xml:space="preserve">With offers of cooperative compensation no longer being communicated through the MLS, these amendments reflect the post-settlement reality that offers of compensation may be more difficult to ascertain in a timely fashion, especially in fast-moving transactions. These amendments allow for necessary flexibility while maintaining the ethical obligation for cooperating brokers to work with sellers and landlords to establish the terms of offers to cooperate. </w:t>
      </w:r>
    </w:p>
    <w:p w14:paraId="41F474AB" w14:textId="77777777" w:rsidR="00451AC4" w:rsidRDefault="00451AC4" w:rsidP="0002028A">
      <w:pPr>
        <w:rPr>
          <w:rFonts w:cstheme="minorHAnsi"/>
        </w:rPr>
      </w:pPr>
    </w:p>
    <w:p w14:paraId="38E92D53" w14:textId="62EC6269" w:rsidR="006C32AB" w:rsidRDefault="006C32AB" w:rsidP="00A81B35">
      <w:pPr>
        <w:pStyle w:val="ListParagraph"/>
        <w:numPr>
          <w:ilvl w:val="0"/>
          <w:numId w:val="20"/>
        </w:numPr>
        <w:spacing w:after="0" w:line="240" w:lineRule="auto"/>
        <w:rPr>
          <w:rFonts w:cs="Arial"/>
          <w:b/>
          <w:bCs/>
        </w:rPr>
      </w:pPr>
      <w:r w:rsidRPr="00EF4C97">
        <w:rPr>
          <w:rFonts w:cs="Arial"/>
          <w:b/>
          <w:bCs/>
        </w:rPr>
        <w:t>Standard of Practice 3-2, (underscoring indicates additions, strikeouts indicate deletions):</w:t>
      </w:r>
    </w:p>
    <w:p w14:paraId="647C90DB" w14:textId="77777777" w:rsidR="006C32AB" w:rsidRPr="00EF4C97" w:rsidRDefault="006C32AB" w:rsidP="006C32AB">
      <w:pPr>
        <w:pStyle w:val="ListParagraph"/>
        <w:spacing w:after="0" w:line="240" w:lineRule="auto"/>
        <w:rPr>
          <w:rFonts w:cs="Arial"/>
          <w:b/>
          <w:bCs/>
        </w:rPr>
      </w:pPr>
    </w:p>
    <w:p w14:paraId="19CE1B3F" w14:textId="77777777" w:rsidR="006C32AB" w:rsidRPr="00EF4C97" w:rsidRDefault="006C32AB" w:rsidP="006C32AB">
      <w:pPr>
        <w:ind w:left="1440"/>
        <w:rPr>
          <w:rFonts w:cstheme="minorHAnsi"/>
          <w:i/>
          <w:iCs/>
          <w:u w:val="single"/>
        </w:rPr>
      </w:pPr>
      <w:r w:rsidRPr="00EF4C97">
        <w:rPr>
          <w:rFonts w:cstheme="minorHAnsi"/>
          <w:i/>
          <w:iCs/>
          <w:u w:val="single"/>
        </w:rPr>
        <w:t>If compensation is offered or advertised by the listing broker,</w:t>
      </w:r>
      <w:r w:rsidRPr="00EF4C97">
        <w:rPr>
          <w:rFonts w:cstheme="minorHAnsi"/>
          <w:i/>
          <w:iCs/>
        </w:rPr>
        <w:t xml:space="preserve"> any change in </w:t>
      </w:r>
      <w:r w:rsidRPr="00EF4C97">
        <w:rPr>
          <w:rFonts w:cstheme="minorHAnsi"/>
          <w:i/>
          <w:iCs/>
          <w:u w:val="single"/>
        </w:rPr>
        <w:t>offered</w:t>
      </w:r>
      <w:r w:rsidRPr="00EF4C97">
        <w:rPr>
          <w:rFonts w:cstheme="minorHAnsi"/>
          <w:i/>
          <w:iCs/>
        </w:rPr>
        <w:t xml:space="preserve"> compensation </w:t>
      </w:r>
      <w:r w:rsidRPr="00EF4C97">
        <w:rPr>
          <w:rFonts w:cstheme="minorHAnsi"/>
          <w:i/>
          <w:iCs/>
          <w:strike/>
        </w:rPr>
        <w:t>offered for cooperative services</w:t>
      </w:r>
      <w:r w:rsidRPr="00EF4C97">
        <w:rPr>
          <w:rFonts w:cstheme="minorHAnsi"/>
          <w:i/>
          <w:iCs/>
        </w:rPr>
        <w:t xml:space="preserve"> must be communicated </w:t>
      </w:r>
      <w:r w:rsidRPr="00EF4C97">
        <w:rPr>
          <w:rFonts w:cstheme="minorHAnsi"/>
          <w:i/>
          <w:iCs/>
          <w:strike/>
        </w:rPr>
        <w:t>prior to the time that REALTOR® submits an offer to purchase/lease the property</w:t>
      </w:r>
      <w:r w:rsidRPr="00EF4C97">
        <w:rPr>
          <w:rFonts w:cstheme="minorHAnsi"/>
          <w:i/>
          <w:iCs/>
        </w:rPr>
        <w:t xml:space="preserve"> </w:t>
      </w:r>
      <w:r w:rsidRPr="00EF4C97">
        <w:rPr>
          <w:rFonts w:cstheme="minorHAnsi"/>
          <w:i/>
          <w:iCs/>
          <w:u w:val="single"/>
        </w:rPr>
        <w:t>as soon as practical.</w:t>
      </w:r>
      <w:r w:rsidRPr="00EF4C97">
        <w:rPr>
          <w:rFonts w:cstheme="minorHAnsi"/>
          <w:i/>
          <w:iCs/>
        </w:rPr>
        <w:t xml:space="preserve"> After a REALTOR® has submitted an offer to purchase or lease property, the listing broker may not </w:t>
      </w:r>
      <w:r w:rsidRPr="00EF4C97">
        <w:rPr>
          <w:rFonts w:cstheme="minorHAnsi"/>
          <w:i/>
          <w:iCs/>
          <w:strike/>
        </w:rPr>
        <w:t>attempt to</w:t>
      </w:r>
      <w:r w:rsidRPr="00EF4C97">
        <w:rPr>
          <w:rFonts w:cstheme="minorHAnsi"/>
          <w:i/>
          <w:iCs/>
        </w:rPr>
        <w:t xml:space="preserve"> unilaterally modify the offered compensation </w:t>
      </w:r>
      <w:r w:rsidRPr="00EF4C97">
        <w:rPr>
          <w:rFonts w:cstheme="minorHAnsi"/>
          <w:i/>
          <w:iCs/>
          <w:strike/>
        </w:rPr>
        <w:t>with respect to that cooperative transaction</w:t>
      </w:r>
      <w:r w:rsidRPr="00EF4C97">
        <w:rPr>
          <w:rFonts w:cstheme="minorHAnsi"/>
          <w:i/>
          <w:iCs/>
        </w:rPr>
        <w:t xml:space="preserve">. </w:t>
      </w:r>
    </w:p>
    <w:p w14:paraId="12F7F2C4" w14:textId="77777777" w:rsidR="006C32AB" w:rsidRDefault="006C32AB" w:rsidP="006C32AB">
      <w:pPr>
        <w:ind w:left="1440"/>
        <w:rPr>
          <w:rFonts w:cstheme="minorHAnsi"/>
          <w:i/>
          <w:iCs/>
          <w:u w:val="single"/>
        </w:rPr>
      </w:pPr>
      <w:r w:rsidRPr="00EF4C97">
        <w:rPr>
          <w:rFonts w:cstheme="minorHAnsi"/>
          <w:i/>
          <w:iCs/>
          <w:u w:val="single"/>
        </w:rPr>
        <w:t>REALTORS® are prohibited from delaying or withholding delivery of a buyer’s/tenant’s offer while attempting to negotiate compensation. These ethical obligations in no way restrict the REALTORS®' or clients' ability to negotiate compensation in the clients' best interest, including in offers to purchase or lease.</w:t>
      </w:r>
    </w:p>
    <w:p w14:paraId="30AD5E46" w14:textId="77777777" w:rsidR="00DE7D97" w:rsidRDefault="00DE7D97" w:rsidP="006C32AB">
      <w:pPr>
        <w:ind w:left="1440"/>
        <w:rPr>
          <w:rFonts w:cstheme="minorHAnsi"/>
          <w:i/>
          <w:iCs/>
          <w:u w:val="single"/>
        </w:rPr>
      </w:pPr>
    </w:p>
    <w:p w14:paraId="063135DE" w14:textId="77777777" w:rsidR="009E0BEE" w:rsidRDefault="009E0BEE" w:rsidP="009E0BEE">
      <w:r w:rsidRPr="00032A15">
        <w:rPr>
          <w:rFonts w:cstheme="minorHAnsi"/>
          <w:i/>
          <w:szCs w:val="48"/>
        </w:rPr>
        <w:t xml:space="preserve">Rationale: </w:t>
      </w:r>
      <w:r>
        <w:t xml:space="preserve">Standard of Practice 16-16 remains one of the most misunderstood areas of the Code of Ethics, with many individuals wrongly assuming it prohibits negotiation of compensation at a certain point in a transaction. These amendments retain Standard of Practice 16-16’s ethical duty that prohibits delaying or withholding an offer while negotiating compensation and move these obligations to Standard of Practice 3-2, which similarly addresses negotiation of compensation. Additionally, with the settlement agreement’s requirements for written agreements and conspicuous language disclosing offers and amounts of compensation on both sides of a transaction, the </w:t>
      </w:r>
      <w:r>
        <w:lastRenderedPageBreak/>
        <w:t xml:space="preserve">specific situation that Standard of Practice 16-16 prohibits (a buyer representative using a purchase offer to attempt to modify the terms of a listing broker’s agreement with their client) is now extremely unlikely to happen. </w:t>
      </w:r>
    </w:p>
    <w:p w14:paraId="28EC3E39" w14:textId="77777777" w:rsidR="009E0BEE" w:rsidRDefault="009E0BEE" w:rsidP="009E0BEE">
      <w:r>
        <w:t xml:space="preserve">Lastly, the amendments to Standard of Practice 3-2 reflect the fact that there are no longer unilateral offers of compensation communicated through the MLS while retaining an ethical obligation to communicate any change in compensation that was previously offered as promptly as possible. </w:t>
      </w:r>
    </w:p>
    <w:p w14:paraId="1082D4FA" w14:textId="77777777" w:rsidR="009E0BEE" w:rsidRDefault="009E0BEE" w:rsidP="006C32AB">
      <w:pPr>
        <w:ind w:left="1440"/>
        <w:rPr>
          <w:rFonts w:cstheme="minorHAnsi"/>
          <w:i/>
          <w:iCs/>
          <w:u w:val="single"/>
        </w:rPr>
      </w:pPr>
    </w:p>
    <w:p w14:paraId="0CC64DCB" w14:textId="307601AC" w:rsidR="008B39B1" w:rsidRPr="00172C87" w:rsidRDefault="008B39B1" w:rsidP="00A81B35">
      <w:pPr>
        <w:pStyle w:val="ListParagraph"/>
        <w:numPr>
          <w:ilvl w:val="0"/>
          <w:numId w:val="20"/>
        </w:numPr>
        <w:spacing w:after="0" w:line="240" w:lineRule="auto"/>
        <w:rPr>
          <w:rFonts w:cstheme="minorHAnsi"/>
          <w:b/>
        </w:rPr>
      </w:pPr>
      <w:r w:rsidRPr="00172C87">
        <w:rPr>
          <w:rFonts w:cstheme="minorHAnsi"/>
          <w:b/>
        </w:rPr>
        <w:t>Standard of Practice 3-9, (underscoring indicates additions, strikeouts indicate deletions):</w:t>
      </w:r>
    </w:p>
    <w:p w14:paraId="2EA3281C" w14:textId="77777777" w:rsidR="008B39B1" w:rsidRPr="00172C87" w:rsidRDefault="008B39B1" w:rsidP="008B39B1">
      <w:pPr>
        <w:pStyle w:val="ListParagraph"/>
        <w:spacing w:after="0" w:line="240" w:lineRule="auto"/>
        <w:rPr>
          <w:rFonts w:cstheme="minorHAnsi"/>
          <w:bCs/>
        </w:rPr>
      </w:pPr>
    </w:p>
    <w:p w14:paraId="444678F6" w14:textId="77777777" w:rsidR="008B39B1" w:rsidRPr="00243E65" w:rsidRDefault="008B39B1" w:rsidP="008B39B1">
      <w:pPr>
        <w:ind w:left="1440"/>
        <w:rPr>
          <w:rFonts w:cstheme="minorHAnsi"/>
          <w:i/>
          <w:iCs/>
        </w:rPr>
      </w:pPr>
      <w:r w:rsidRPr="00172C87">
        <w:rPr>
          <w:rFonts w:cstheme="minorHAnsi"/>
          <w:i/>
          <w:iCs/>
          <w:u w:val="single"/>
        </w:rPr>
        <w:t>When acting as a cooperating broker, or in a capacity other than as a listing broker or property manager,</w:t>
      </w:r>
      <w:r w:rsidRPr="00172C87">
        <w:rPr>
          <w:rFonts w:cstheme="minorHAnsi"/>
          <w:i/>
          <w:iCs/>
        </w:rPr>
        <w:t xml:space="preserve"> REALTORS® shall not</w:t>
      </w:r>
      <w:r w:rsidRPr="00172C87">
        <w:rPr>
          <w:rFonts w:cstheme="minorHAnsi"/>
          <w:i/>
          <w:iCs/>
          <w:strike/>
        </w:rPr>
        <w:t xml:space="preserve"> provide access to listed</w:t>
      </w:r>
      <w:r w:rsidRPr="00172C87">
        <w:rPr>
          <w:rFonts w:cstheme="minorHAnsi"/>
          <w:i/>
          <w:iCs/>
        </w:rPr>
        <w:t xml:space="preserve"> </w:t>
      </w:r>
      <w:r w:rsidRPr="00172C87">
        <w:rPr>
          <w:rFonts w:cstheme="minorHAnsi"/>
          <w:i/>
          <w:iCs/>
          <w:u w:val="single"/>
        </w:rPr>
        <w:t>access or use, or permit or enable others to access or use</w:t>
      </w:r>
      <w:r w:rsidRPr="00172C87">
        <w:rPr>
          <w:rFonts w:cstheme="minorHAnsi"/>
          <w:i/>
          <w:iCs/>
        </w:rPr>
        <w:t xml:space="preserve">, property on terms </w:t>
      </w:r>
      <w:r w:rsidRPr="00172C87">
        <w:rPr>
          <w:rFonts w:cstheme="minorHAnsi"/>
          <w:i/>
          <w:iCs/>
          <w:u w:val="single"/>
        </w:rPr>
        <w:t>or conditions</w:t>
      </w:r>
      <w:r w:rsidRPr="00172C87">
        <w:rPr>
          <w:rFonts w:cstheme="minorHAnsi"/>
          <w:i/>
          <w:iCs/>
        </w:rPr>
        <w:t xml:space="preserve"> other than those established by the owner or the seller.</w:t>
      </w:r>
    </w:p>
    <w:p w14:paraId="4B0C5E76" w14:textId="7C6ADA60" w:rsidR="008B39B1" w:rsidRDefault="008B39B1" w:rsidP="008B39B1">
      <w:pPr>
        <w:rPr>
          <w:rFonts w:cs="Arial"/>
        </w:rPr>
      </w:pPr>
      <w:r w:rsidRPr="00032A15">
        <w:rPr>
          <w:rFonts w:cstheme="minorHAnsi"/>
          <w:i/>
          <w:szCs w:val="48"/>
        </w:rPr>
        <w:t>Rationale:</w:t>
      </w:r>
      <w:r>
        <w:t xml:space="preserve"> Th</w:t>
      </w:r>
      <w:r w:rsidR="007D0A17">
        <w:t>is</w:t>
      </w:r>
      <w:r>
        <w:t xml:space="preserve"> amendment</w:t>
      </w:r>
      <w:r w:rsidR="007D0A17">
        <w:t xml:space="preserve"> </w:t>
      </w:r>
      <w:r>
        <w:rPr>
          <w:rFonts w:cs="Arial"/>
        </w:rPr>
        <w:t>clarif</w:t>
      </w:r>
      <w:r w:rsidR="007D0A17">
        <w:rPr>
          <w:rFonts w:cs="Arial"/>
        </w:rPr>
        <w:t>ies</w:t>
      </w:r>
      <w:r>
        <w:rPr>
          <w:rFonts w:cs="Arial"/>
        </w:rPr>
        <w:t xml:space="preserve"> the difference between two similar and often confusing Standards of Practice, plainly stating that Standard of Practice 1-16 applies to those acting as listing brokers or property managers, while Standard of Practice 3-9 applies to those acting as cooperating brokers or in capacities other than listing brokers or property managers.  </w:t>
      </w:r>
    </w:p>
    <w:p w14:paraId="4A2A5260" w14:textId="77777777" w:rsidR="006B3C62" w:rsidRPr="00660133" w:rsidRDefault="006B3C62" w:rsidP="008B39B1"/>
    <w:p w14:paraId="7C2C7360" w14:textId="39E18AC9" w:rsidR="00B964C7" w:rsidRPr="00984A62" w:rsidRDefault="00B964C7" w:rsidP="00B35CA8">
      <w:pPr>
        <w:pStyle w:val="ListParagraph"/>
        <w:numPr>
          <w:ilvl w:val="0"/>
          <w:numId w:val="20"/>
        </w:numPr>
        <w:autoSpaceDE w:val="0"/>
        <w:autoSpaceDN w:val="0"/>
        <w:adjustRightInd w:val="0"/>
        <w:rPr>
          <w:rFonts w:cstheme="minorHAnsi"/>
          <w:b/>
        </w:rPr>
      </w:pPr>
      <w:r w:rsidRPr="00984A62">
        <w:rPr>
          <w:rFonts w:cstheme="minorHAnsi"/>
          <w:b/>
        </w:rPr>
        <w:t>Standard of Practice 9-2, (underscoring indicates additions, strikeouts indicate deletions):</w:t>
      </w:r>
    </w:p>
    <w:p w14:paraId="50533790" w14:textId="77777777" w:rsidR="00B964C7" w:rsidRDefault="00B964C7" w:rsidP="00B964C7">
      <w:pPr>
        <w:autoSpaceDE w:val="0"/>
        <w:autoSpaceDN w:val="0"/>
        <w:adjustRightInd w:val="0"/>
        <w:ind w:left="1440"/>
        <w:rPr>
          <w:rFonts w:cstheme="minorHAnsi"/>
          <w:i/>
          <w:iCs/>
        </w:rPr>
      </w:pPr>
      <w:r w:rsidRPr="00984A62">
        <w:rPr>
          <w:rFonts w:cstheme="minorHAnsi"/>
          <w:i/>
          <w:iCs/>
        </w:rPr>
        <w:t xml:space="preserve">When assisting or enabling a client or customer in establishing a contractual relationship (e.g., listing and representation agreements, purchase agreements, leases, etc.) </w:t>
      </w:r>
      <w:r w:rsidRPr="00984A62">
        <w:rPr>
          <w:rFonts w:cstheme="minorHAnsi"/>
          <w:i/>
          <w:iCs/>
          <w:u w:val="single"/>
        </w:rPr>
        <w:t>in person,</w:t>
      </w:r>
      <w:r w:rsidRPr="00984A62">
        <w:rPr>
          <w:rFonts w:cstheme="minorHAnsi"/>
          <w:i/>
          <w:iCs/>
        </w:rPr>
        <w:t xml:space="preserve"> electronically </w:t>
      </w:r>
      <w:r w:rsidRPr="00984A62">
        <w:rPr>
          <w:rFonts w:cstheme="minorHAnsi"/>
          <w:i/>
          <w:iCs/>
          <w:u w:val="single"/>
        </w:rPr>
        <w:t>or through any other means</w:t>
      </w:r>
      <w:r w:rsidRPr="00984A62">
        <w:rPr>
          <w:rFonts w:cstheme="minorHAnsi"/>
          <w:i/>
          <w:iCs/>
        </w:rPr>
        <w:t>, REALTORS® shall make reasonable efforts to explain the nature and disclose the specific terms of the contractual relationship being established prior to it being agreed to by a contracting party.</w:t>
      </w:r>
    </w:p>
    <w:p w14:paraId="23877BBC" w14:textId="77777777" w:rsidR="00B964C7" w:rsidRDefault="00B964C7" w:rsidP="00B964C7">
      <w:r w:rsidRPr="00032A15">
        <w:rPr>
          <w:rFonts w:cstheme="minorHAnsi"/>
          <w:i/>
          <w:szCs w:val="48"/>
        </w:rPr>
        <w:t>Rationale:</w:t>
      </w:r>
      <w:r>
        <w:t xml:space="preserve"> Standard of Practice 9-2 was adopted in 2007 to address ethical concerns with doing business electronically, which was a relatively new practice at the time. These amendments clarify that a REALTOR®’s ethical duty to make reasonable efforts to explain and disclose terms of a contractual relationship applies regardless of whether business is handled electronically or otherwise. </w:t>
      </w:r>
    </w:p>
    <w:p w14:paraId="25691B49" w14:textId="77777777" w:rsidR="006B3C62" w:rsidRDefault="006B3C62" w:rsidP="00B964C7"/>
    <w:p w14:paraId="50334079" w14:textId="2CB6C16B" w:rsidR="00895E25" w:rsidRPr="00375F9A" w:rsidRDefault="00895E25" w:rsidP="00B35CA8">
      <w:pPr>
        <w:pStyle w:val="ListParagraph"/>
        <w:numPr>
          <w:ilvl w:val="0"/>
          <w:numId w:val="20"/>
        </w:numPr>
        <w:rPr>
          <w:rFonts w:cstheme="minorHAnsi"/>
          <w:b/>
          <w:bCs/>
        </w:rPr>
      </w:pPr>
      <w:r w:rsidRPr="00375F9A">
        <w:rPr>
          <w:rFonts w:cstheme="minorHAnsi"/>
          <w:b/>
          <w:bCs/>
        </w:rPr>
        <w:t>Standard of Practice 10-1, (underlining indicates additions, strikeouts indicate deletions):</w:t>
      </w:r>
    </w:p>
    <w:p w14:paraId="593D3A39" w14:textId="77777777" w:rsidR="00895E25" w:rsidRPr="00375F9A" w:rsidRDefault="00895E25" w:rsidP="00895E25">
      <w:pPr>
        <w:pStyle w:val="ListParagraph"/>
        <w:rPr>
          <w:rFonts w:cstheme="minorHAnsi"/>
        </w:rPr>
      </w:pPr>
    </w:p>
    <w:p w14:paraId="1CEF7580" w14:textId="77777777" w:rsidR="00895E25" w:rsidRDefault="00895E25" w:rsidP="00895E25">
      <w:pPr>
        <w:pStyle w:val="ListParagraph"/>
        <w:ind w:left="1440"/>
        <w:rPr>
          <w:rFonts w:cstheme="minorHAnsi"/>
          <w:i/>
          <w:iCs/>
        </w:rPr>
      </w:pPr>
      <w:r w:rsidRPr="00375F9A">
        <w:rPr>
          <w:rFonts w:cstheme="minorHAnsi"/>
          <w:i/>
          <w:iCs/>
        </w:rPr>
        <w:t>When involved in the sale or lease of a residence, REALTORS® shall not volunteer information regarding the racial, religious or ethnic composition of any neighborhood</w:t>
      </w:r>
      <w:r w:rsidRPr="00375F9A">
        <w:rPr>
          <w:rFonts w:cstheme="minorHAnsi"/>
          <w:i/>
          <w:iCs/>
          <w:u w:val="single"/>
        </w:rPr>
        <w:t>, however, REALTORS® may provide other demographic information.</w:t>
      </w:r>
      <w:r w:rsidRPr="00375F9A">
        <w:rPr>
          <w:rFonts w:cstheme="minorHAnsi"/>
          <w:i/>
          <w:iCs/>
        </w:rPr>
        <w:t xml:space="preserve"> </w:t>
      </w:r>
      <w:r w:rsidRPr="00375F9A">
        <w:rPr>
          <w:rFonts w:cstheme="minorHAnsi"/>
          <w:i/>
          <w:iCs/>
          <w:strike/>
        </w:rPr>
        <w:t>nor</w:t>
      </w:r>
      <w:r w:rsidRPr="00375F9A">
        <w:rPr>
          <w:rFonts w:cstheme="minorHAnsi"/>
          <w:i/>
          <w:iCs/>
        </w:rPr>
        <w:t xml:space="preserve"> </w:t>
      </w:r>
      <w:r w:rsidRPr="00375F9A">
        <w:rPr>
          <w:rFonts w:cstheme="minorHAnsi"/>
          <w:i/>
          <w:iCs/>
          <w:u w:val="single"/>
        </w:rPr>
        <w:t>REALTORS</w:t>
      </w:r>
      <w:r w:rsidRPr="00375F9A">
        <w:rPr>
          <w:rFonts w:cstheme="minorHAnsi"/>
          <w:i/>
          <w:iCs/>
        </w:rPr>
        <w:t xml:space="preserve">® shall </w:t>
      </w:r>
      <w:r w:rsidRPr="00375F9A">
        <w:rPr>
          <w:rFonts w:cstheme="minorHAnsi"/>
          <w:i/>
          <w:iCs/>
          <w:strike/>
        </w:rPr>
        <w:t>they</w:t>
      </w:r>
      <w:r w:rsidRPr="00375F9A">
        <w:rPr>
          <w:rFonts w:cstheme="minorHAnsi"/>
          <w:i/>
          <w:iCs/>
        </w:rPr>
        <w:t xml:space="preserve"> </w:t>
      </w:r>
      <w:r w:rsidRPr="00375F9A">
        <w:rPr>
          <w:rFonts w:cstheme="minorHAnsi"/>
          <w:i/>
          <w:iCs/>
          <w:u w:val="single"/>
        </w:rPr>
        <w:t>not</w:t>
      </w:r>
      <w:r w:rsidRPr="00375F9A">
        <w:rPr>
          <w:rFonts w:cstheme="minorHAnsi"/>
          <w:i/>
          <w:iCs/>
        </w:rPr>
        <w:t xml:space="preserve"> engage in any activity which may result in panic selling </w:t>
      </w:r>
      <w:r w:rsidRPr="00375F9A">
        <w:rPr>
          <w:rFonts w:cstheme="minorHAnsi"/>
          <w:i/>
          <w:iCs/>
          <w:u w:val="single"/>
        </w:rPr>
        <w:t>or steering</w:t>
      </w:r>
      <w:r w:rsidRPr="00375F9A">
        <w:rPr>
          <w:rFonts w:cstheme="minorHAnsi"/>
          <w:i/>
          <w:iCs/>
          <w:strike/>
        </w:rPr>
        <w:t>, however, REALTORS® may provide other demographic information</w:t>
      </w:r>
      <w:r w:rsidRPr="00375F9A">
        <w:rPr>
          <w:rFonts w:cstheme="minorHAnsi"/>
          <w:i/>
          <w:iCs/>
        </w:rPr>
        <w:t>.</w:t>
      </w:r>
    </w:p>
    <w:p w14:paraId="733AA3FA" w14:textId="77777777" w:rsidR="00895E25" w:rsidRDefault="00895E25" w:rsidP="00895E25">
      <w:r w:rsidRPr="00032A15">
        <w:rPr>
          <w:rFonts w:cstheme="minorHAnsi"/>
          <w:i/>
          <w:szCs w:val="48"/>
        </w:rPr>
        <w:t>Rationale:</w:t>
      </w:r>
      <w:r>
        <w:t xml:space="preserve"> While Article 10 has always implicitly prohibited steering under the ethical duty to provide equal professional services, this amendment to Standard of Practice 10-1 states this clearly and explicitly. </w:t>
      </w:r>
    </w:p>
    <w:p w14:paraId="236F3DC9" w14:textId="4341FCEE" w:rsidR="006B3C62" w:rsidRDefault="006B3C62" w:rsidP="0002028A">
      <w:pPr>
        <w:rPr>
          <w:rFonts w:cstheme="minorHAnsi"/>
        </w:rPr>
      </w:pPr>
    </w:p>
    <w:p w14:paraId="5590FC5E" w14:textId="77777777" w:rsidR="006B3C62" w:rsidRDefault="006B3C62">
      <w:pPr>
        <w:rPr>
          <w:rFonts w:cstheme="minorHAnsi"/>
        </w:rPr>
      </w:pPr>
      <w:r>
        <w:rPr>
          <w:rFonts w:cstheme="minorHAnsi"/>
        </w:rPr>
        <w:br w:type="page"/>
      </w:r>
    </w:p>
    <w:p w14:paraId="41E6D899" w14:textId="301A23B1" w:rsidR="00E32BF1" w:rsidRDefault="00E32BF1" w:rsidP="002B2AE3">
      <w:pPr>
        <w:pStyle w:val="ListParagraph"/>
        <w:numPr>
          <w:ilvl w:val="0"/>
          <w:numId w:val="20"/>
        </w:numPr>
        <w:spacing w:after="0" w:line="240" w:lineRule="auto"/>
        <w:rPr>
          <w:rFonts w:cs="Arial"/>
          <w:b/>
        </w:rPr>
      </w:pPr>
      <w:r w:rsidRPr="00E32BF1">
        <w:rPr>
          <w:rFonts w:cs="Arial"/>
          <w:b/>
        </w:rPr>
        <w:lastRenderedPageBreak/>
        <w:t>Standard of Practice 10-5, (underscoring indicates additions, strikeouts indicate deletions):</w:t>
      </w:r>
    </w:p>
    <w:p w14:paraId="4BF9EEE0" w14:textId="77777777" w:rsidR="00EA6A74" w:rsidRPr="00EA6A74" w:rsidRDefault="00EA6A74" w:rsidP="00EA6A74">
      <w:pPr>
        <w:pStyle w:val="ListParagraph"/>
        <w:spacing w:after="0" w:line="240" w:lineRule="auto"/>
        <w:rPr>
          <w:rFonts w:cs="Arial"/>
          <w:b/>
        </w:rPr>
      </w:pPr>
    </w:p>
    <w:p w14:paraId="1CCAC7F9" w14:textId="12A5ABC2" w:rsidR="00E32BF1" w:rsidRPr="00E32BF1" w:rsidRDefault="00E32BF1" w:rsidP="00E32BF1">
      <w:pPr>
        <w:ind w:left="1440"/>
        <w:rPr>
          <w:rFonts w:cstheme="minorHAnsi"/>
          <w:i/>
          <w:iCs/>
        </w:rPr>
      </w:pPr>
      <w:r w:rsidRPr="00E32BF1">
        <w:rPr>
          <w:rFonts w:cstheme="minorHAnsi"/>
          <w:i/>
          <w:iCs/>
        </w:rPr>
        <w:t>REALTORS®</w:t>
      </w:r>
      <w:r w:rsidRPr="00E32BF1">
        <w:rPr>
          <w:rFonts w:cstheme="minorHAnsi"/>
          <w:i/>
          <w:iCs/>
          <w:u w:val="single"/>
        </w:rPr>
        <w:t xml:space="preserve">, in their capacity as real estate professionals, in association with their real estate businesses, </w:t>
      </w:r>
      <w:r w:rsidR="00754639">
        <w:rPr>
          <w:rFonts w:cstheme="minorHAnsi"/>
          <w:i/>
          <w:iCs/>
          <w:u w:val="single"/>
        </w:rPr>
        <w:t>or</w:t>
      </w:r>
      <w:r w:rsidRPr="00E32BF1">
        <w:rPr>
          <w:rFonts w:cstheme="minorHAnsi"/>
          <w:i/>
          <w:iCs/>
          <w:u w:val="single"/>
        </w:rPr>
        <w:t xml:space="preserve"> in their real estate-related activities,</w:t>
      </w:r>
      <w:r w:rsidRPr="00E32BF1">
        <w:rPr>
          <w:rFonts w:cstheme="minorHAnsi"/>
          <w:i/>
          <w:iCs/>
        </w:rPr>
        <w:t xml:space="preserve"> </w:t>
      </w:r>
      <w:proofErr w:type="gramStart"/>
      <w:r w:rsidRPr="00E32BF1">
        <w:rPr>
          <w:rFonts w:cstheme="minorHAnsi"/>
          <w:i/>
          <w:iCs/>
          <w:strike/>
        </w:rPr>
        <w:t>must</w:t>
      </w:r>
      <w:r w:rsidRPr="00E32BF1">
        <w:rPr>
          <w:rFonts w:cstheme="minorHAnsi"/>
          <w:i/>
          <w:iCs/>
        </w:rPr>
        <w:t xml:space="preserve"> </w:t>
      </w:r>
      <w:r w:rsidRPr="00E32BF1">
        <w:rPr>
          <w:rFonts w:cstheme="minorHAnsi"/>
          <w:i/>
          <w:iCs/>
          <w:u w:val="single"/>
        </w:rPr>
        <w:t>shall</w:t>
      </w:r>
      <w:proofErr w:type="gramEnd"/>
      <w:r w:rsidRPr="00E32BF1">
        <w:rPr>
          <w:rFonts w:cstheme="minorHAnsi"/>
          <w:i/>
          <w:iCs/>
        </w:rPr>
        <w:t xml:space="preserve"> not </w:t>
      </w:r>
      <w:r w:rsidRPr="00E32BF1">
        <w:rPr>
          <w:rFonts w:cstheme="minorHAnsi"/>
          <w:i/>
          <w:iCs/>
          <w:strike/>
        </w:rPr>
        <w:t xml:space="preserve">use harassing speech, hate speech, epithets, or slurs </w:t>
      </w:r>
      <w:r w:rsidRPr="00E32BF1">
        <w:rPr>
          <w:rFonts w:cstheme="minorHAnsi"/>
          <w:i/>
          <w:iCs/>
          <w:u w:val="single"/>
        </w:rPr>
        <w:t xml:space="preserve">harass any person or persons </w:t>
      </w:r>
      <w:r w:rsidRPr="00E32BF1">
        <w:rPr>
          <w:rFonts w:cstheme="minorHAnsi"/>
          <w:i/>
          <w:iCs/>
        </w:rPr>
        <w:t xml:space="preserve">based on race, color, religion, sex, disability, familial status, national origin, sexual orientation, or gender identity. </w:t>
      </w:r>
    </w:p>
    <w:p w14:paraId="36728482" w14:textId="16C8A732" w:rsidR="00E32BF1" w:rsidRPr="00E32BF1" w:rsidRDefault="00E32BF1" w:rsidP="00E32BF1">
      <w:pPr>
        <w:ind w:left="1440"/>
        <w:rPr>
          <w:rFonts w:cstheme="minorHAnsi"/>
          <w:i/>
          <w:iCs/>
        </w:rPr>
      </w:pPr>
      <w:r w:rsidRPr="00E32BF1">
        <w:rPr>
          <w:rFonts w:cstheme="minorHAnsi"/>
          <w:i/>
          <w:iCs/>
          <w:u w:val="single"/>
        </w:rPr>
        <w:t>As used in this Code of Ethics, harassment is unwelcome behavior directed at an individual or group based on one or more of the above protected characteristics where the purpose or effect of the behavior is to create a hostile, abusive, or intimidating environment which adversely affects their ability to access equal professional services or employment opportunity</w:t>
      </w:r>
      <w:r w:rsidRPr="00E32BF1">
        <w:rPr>
          <w:rFonts w:cstheme="minorHAnsi"/>
          <w:i/>
          <w:iCs/>
        </w:rPr>
        <w:t>.</w:t>
      </w:r>
    </w:p>
    <w:p w14:paraId="47C22EE5" w14:textId="77777777" w:rsidR="008B7E3C" w:rsidRDefault="008B7E3C" w:rsidP="008B7E3C">
      <w:pPr>
        <w:spacing w:after="0" w:line="240" w:lineRule="auto"/>
        <w:rPr>
          <w:rFonts w:cs="Arial"/>
          <w:b/>
          <w:bCs/>
          <w:color w:val="3B3838" w:themeColor="background2" w:themeShade="40"/>
          <w:u w:val="single"/>
        </w:rPr>
      </w:pPr>
    </w:p>
    <w:p w14:paraId="297F2A0C" w14:textId="15896FE7" w:rsidR="008B7E3C" w:rsidRDefault="008B7E3C" w:rsidP="008B7E3C">
      <w:pPr>
        <w:spacing w:after="0" w:line="240" w:lineRule="auto"/>
        <w:rPr>
          <w:rFonts w:cstheme="minorHAnsi"/>
        </w:rPr>
      </w:pPr>
      <w:r w:rsidRPr="008B7E3C">
        <w:rPr>
          <w:rFonts w:cstheme="minorHAnsi"/>
          <w:i/>
        </w:rPr>
        <w:t>Rationale:</w:t>
      </w:r>
      <w:r w:rsidRPr="008B7E3C">
        <w:rPr>
          <w:rFonts w:cstheme="minorHAnsi"/>
        </w:rPr>
        <w:t xml:space="preserve"> In its current form, Standard of Practice 10-5 presents a confusing application to Article 10 because Standard of Practice 10-5 is broadly written with language not otherwise defined in the Code of Ethics. This has resulted in legal challenges across the country challenging both the language and application of Standard of Practice 10-5 to Article 10. The changes being considered create a more specific definition of “harassment,” which aligns with the definition in the NAR Member Code of Conduct and focus Article 10’s application on instances in which REALTORS® are operating in their professional capacity. The proposed changes provide much needed clarity to members so that they can better understand and comply with Article 10, bring Article 10 in line with similar ethical requirements applied by other large trade associations across the country, and reduce risk to state and local associations and their volunteer leadership who administer and enforce Article 10.</w:t>
      </w:r>
    </w:p>
    <w:p w14:paraId="0FC80B49" w14:textId="77777777" w:rsidR="00EA6A74" w:rsidRDefault="00EA6A74" w:rsidP="008B7E3C">
      <w:pPr>
        <w:spacing w:after="0" w:line="240" w:lineRule="auto"/>
        <w:rPr>
          <w:rFonts w:cstheme="minorHAnsi"/>
        </w:rPr>
      </w:pPr>
    </w:p>
    <w:p w14:paraId="3F3884D2" w14:textId="77777777" w:rsidR="007E7A09" w:rsidRDefault="007E7A09" w:rsidP="008B7E3C">
      <w:pPr>
        <w:spacing w:after="0" w:line="240" w:lineRule="auto"/>
        <w:rPr>
          <w:rFonts w:cstheme="minorHAnsi"/>
        </w:rPr>
      </w:pPr>
    </w:p>
    <w:p w14:paraId="6FF38379" w14:textId="3DDA79A0" w:rsidR="00E822D2" w:rsidRPr="00E822D2" w:rsidRDefault="00E822D2" w:rsidP="002B2AE3">
      <w:pPr>
        <w:pStyle w:val="ListParagraph"/>
        <w:numPr>
          <w:ilvl w:val="0"/>
          <w:numId w:val="20"/>
        </w:numPr>
        <w:spacing w:after="0" w:line="240" w:lineRule="auto"/>
        <w:rPr>
          <w:rFonts w:cs="Arial"/>
          <w:b/>
        </w:rPr>
      </w:pPr>
      <w:r w:rsidRPr="00E822D2">
        <w:rPr>
          <w:rFonts w:cs="Arial"/>
          <w:b/>
        </w:rPr>
        <w:t>Standard of Practice 16-11, (underscoring indicates additions, strikeouts indicate deletions):</w:t>
      </w:r>
    </w:p>
    <w:p w14:paraId="42004C64" w14:textId="77777777" w:rsidR="00652725" w:rsidRDefault="00652725" w:rsidP="00E822D2">
      <w:pPr>
        <w:ind w:left="1440"/>
        <w:rPr>
          <w:rFonts w:cstheme="minorHAnsi"/>
          <w:i/>
          <w:iCs/>
        </w:rPr>
      </w:pPr>
    </w:p>
    <w:p w14:paraId="5A561A09" w14:textId="1A68D000" w:rsidR="00E822D2" w:rsidRPr="00E822D2" w:rsidRDefault="00E822D2" w:rsidP="00E822D2">
      <w:pPr>
        <w:ind w:left="1440"/>
        <w:rPr>
          <w:rFonts w:cstheme="minorHAnsi"/>
          <w:i/>
          <w:iCs/>
        </w:rPr>
      </w:pPr>
      <w:r w:rsidRPr="00E822D2">
        <w:rPr>
          <w:rFonts w:cstheme="minorHAnsi"/>
          <w:i/>
          <w:iCs/>
        </w:rPr>
        <w:t xml:space="preserve">On unlisted property, Realtors®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 </w:t>
      </w:r>
    </w:p>
    <w:p w14:paraId="70052FED" w14:textId="277F0523" w:rsidR="00E822D2" w:rsidRPr="00E822D2" w:rsidRDefault="00E822D2" w:rsidP="00E822D2">
      <w:pPr>
        <w:ind w:left="1440"/>
        <w:rPr>
          <w:rFonts w:cstheme="minorHAnsi"/>
          <w:i/>
          <w:iCs/>
        </w:rPr>
      </w:pPr>
      <w:r w:rsidRPr="00E822D2">
        <w:rPr>
          <w:rFonts w:cstheme="minorHAnsi"/>
          <w:i/>
          <w:iCs/>
        </w:rPr>
        <w:t>Realtors® shall make any request for anticipated compensation from the seller/landlord at first contact. (Amended 1/98)</w:t>
      </w:r>
    </w:p>
    <w:p w14:paraId="120C93B5" w14:textId="77777777" w:rsidR="00E822D2" w:rsidRPr="00E822D2" w:rsidRDefault="00E822D2" w:rsidP="00E822D2">
      <w:pPr>
        <w:ind w:left="1440"/>
        <w:rPr>
          <w:rFonts w:cstheme="minorHAnsi"/>
          <w:i/>
          <w:iCs/>
          <w:u w:val="single"/>
        </w:rPr>
      </w:pPr>
      <w:r w:rsidRPr="00E822D2">
        <w:rPr>
          <w:rFonts w:cstheme="minorHAnsi"/>
          <w:i/>
          <w:iCs/>
          <w:u w:val="single"/>
        </w:rPr>
        <w:t xml:space="preserve">This ethical obligation in no way impacts REALTORS® or consumers’ ability to negotiate compensation. </w:t>
      </w:r>
    </w:p>
    <w:p w14:paraId="7DFD485D" w14:textId="6FF13FFC" w:rsidR="00B93786" w:rsidRDefault="00E822D2" w:rsidP="00E822D2">
      <w:r w:rsidRPr="00032A15">
        <w:rPr>
          <w:rFonts w:cstheme="minorHAnsi"/>
          <w:i/>
          <w:szCs w:val="48"/>
        </w:rPr>
        <w:t xml:space="preserve">Rationale: </w:t>
      </w:r>
      <w:r>
        <w:t xml:space="preserve">The amendments to Standards of Practice 1-12, 1-13, and 16-11 reiterate </w:t>
      </w:r>
      <w:r w:rsidR="00090DB1">
        <w:t>the</w:t>
      </w:r>
      <w:r>
        <w:t xml:space="preserve"> commitments agreed to in the settlement agreement regarding cooperative compensation while plainly and clearly reaffirming the fact that broker compensation remains fully negotiable</w:t>
      </w:r>
      <w:r w:rsidRPr="0088747A">
        <w:t>.</w:t>
      </w:r>
      <w:r w:rsidR="00B93786">
        <w:t xml:space="preserve"> </w:t>
      </w:r>
    </w:p>
    <w:p w14:paraId="4063D6FB" w14:textId="77777777" w:rsidR="00776846" w:rsidRPr="00EF4C97" w:rsidRDefault="00776846" w:rsidP="00EB16FA">
      <w:pPr>
        <w:rPr>
          <w:rFonts w:cstheme="minorHAnsi"/>
          <w:i/>
          <w:iCs/>
          <w:u w:val="single"/>
        </w:rPr>
      </w:pPr>
    </w:p>
    <w:p w14:paraId="4F843F4B" w14:textId="23961F66" w:rsidR="00EF4C97" w:rsidRPr="00EF4C97" w:rsidRDefault="00ED3D55" w:rsidP="002B2AE3">
      <w:pPr>
        <w:pStyle w:val="ListParagraph"/>
        <w:numPr>
          <w:ilvl w:val="0"/>
          <w:numId w:val="20"/>
        </w:numPr>
        <w:spacing w:after="0" w:line="240" w:lineRule="auto"/>
        <w:rPr>
          <w:rFonts w:cs="Arial"/>
          <w:b/>
          <w:bCs/>
        </w:rPr>
      </w:pPr>
      <w:r>
        <w:rPr>
          <w:rFonts w:cs="Arial"/>
          <w:b/>
          <w:bCs/>
        </w:rPr>
        <w:t>D</w:t>
      </w:r>
      <w:r w:rsidR="00EF4C97" w:rsidRPr="00EF4C97">
        <w:rPr>
          <w:rFonts w:cs="Arial"/>
          <w:b/>
          <w:bCs/>
        </w:rPr>
        <w:t xml:space="preserve">elete Standard of Practice 16-16 </w:t>
      </w:r>
    </w:p>
    <w:p w14:paraId="64258A00" w14:textId="1225867D" w:rsidR="006A3DFB" w:rsidRDefault="006A3DFB" w:rsidP="006A3DFB">
      <w:pPr>
        <w:keepLines/>
        <w:spacing w:after="0" w:line="240" w:lineRule="auto"/>
      </w:pPr>
    </w:p>
    <w:p w14:paraId="73B3C831" w14:textId="51FA5913" w:rsidR="00EF4C97" w:rsidRDefault="00EF4C97" w:rsidP="00EF4C97">
      <w:r w:rsidRPr="00032A15">
        <w:rPr>
          <w:rFonts w:cstheme="minorHAnsi"/>
          <w:i/>
          <w:szCs w:val="48"/>
        </w:rPr>
        <w:t xml:space="preserve">Rationale: </w:t>
      </w:r>
      <w:r w:rsidR="00BE7A03">
        <w:t xml:space="preserve">Standard of Practice 16-16 remains one of the most misunderstood </w:t>
      </w:r>
      <w:r w:rsidR="00B118F3">
        <w:t>area</w:t>
      </w:r>
      <w:r w:rsidR="006F0C1C">
        <w:t>s of the Code of Ethics</w:t>
      </w:r>
      <w:r w:rsidR="008A67F1">
        <w:t xml:space="preserve">, with many </w:t>
      </w:r>
      <w:r w:rsidR="007C0625">
        <w:t xml:space="preserve">individuals </w:t>
      </w:r>
      <w:r w:rsidR="00FB5445">
        <w:t xml:space="preserve">wrongly </w:t>
      </w:r>
      <w:r w:rsidR="007C0625">
        <w:t xml:space="preserve">assuming it prohibits </w:t>
      </w:r>
      <w:r w:rsidR="00B7611A">
        <w:t xml:space="preserve">negotiation </w:t>
      </w:r>
      <w:r w:rsidR="00A71B94">
        <w:t xml:space="preserve">of </w:t>
      </w:r>
      <w:r w:rsidR="00B7611A">
        <w:t xml:space="preserve">compensation </w:t>
      </w:r>
      <w:r w:rsidR="00A71B94">
        <w:t xml:space="preserve">at a certain point in a transaction. </w:t>
      </w:r>
      <w:r w:rsidR="000729E1">
        <w:t xml:space="preserve">These amendments retain </w:t>
      </w:r>
      <w:r w:rsidR="00243460">
        <w:t>Standard of Practice 16-16’s</w:t>
      </w:r>
      <w:r w:rsidR="000729E1">
        <w:t xml:space="preserve"> ethical duty </w:t>
      </w:r>
      <w:r w:rsidR="006D1C34">
        <w:t xml:space="preserve">that prohibits delaying or withholding </w:t>
      </w:r>
      <w:r w:rsidR="002167B3">
        <w:t>an offer while negotiating compensation</w:t>
      </w:r>
      <w:r w:rsidR="007643C9">
        <w:t xml:space="preserve"> and </w:t>
      </w:r>
      <w:r w:rsidR="0050017B">
        <w:t>move</w:t>
      </w:r>
      <w:r w:rsidR="00F7781E">
        <w:t xml:space="preserve"> </w:t>
      </w:r>
      <w:r w:rsidR="00922B8F">
        <w:t>these obligations to</w:t>
      </w:r>
      <w:r w:rsidR="0050017B">
        <w:t xml:space="preserve"> Standard of Practice 3-2, which similarly addresses </w:t>
      </w:r>
      <w:r w:rsidR="00C372E8">
        <w:t>negotiation of compensation.</w:t>
      </w:r>
      <w:r w:rsidR="002B60B8">
        <w:t xml:space="preserve"> Additionally, </w:t>
      </w:r>
      <w:r w:rsidR="0059571F">
        <w:t>with the settlement agreement</w:t>
      </w:r>
      <w:r w:rsidR="006C0603">
        <w:t xml:space="preserve">’s requirements </w:t>
      </w:r>
      <w:r w:rsidR="0008217E">
        <w:t xml:space="preserve">for </w:t>
      </w:r>
      <w:r w:rsidR="003A59AA">
        <w:t xml:space="preserve">written agreements and </w:t>
      </w:r>
      <w:r w:rsidR="008A390F">
        <w:t xml:space="preserve">conspicuous </w:t>
      </w:r>
      <w:r w:rsidR="000567AC">
        <w:t xml:space="preserve">language disclosing offers and amounts of compensation </w:t>
      </w:r>
      <w:r w:rsidR="00A211D7">
        <w:t xml:space="preserve">on both sides of a transaction, </w:t>
      </w:r>
      <w:r w:rsidR="00F661B4">
        <w:t>the s</w:t>
      </w:r>
      <w:r w:rsidR="00CF72E1">
        <w:t xml:space="preserve">pecific situation that Standard of Practice 16-16 </w:t>
      </w:r>
      <w:r w:rsidR="00762890">
        <w:t>prohibits (</w:t>
      </w:r>
      <w:r w:rsidR="00BD1F4D">
        <w:t>a buyer representative using a</w:t>
      </w:r>
      <w:r w:rsidR="00F909D7">
        <w:t xml:space="preserve"> purchase </w:t>
      </w:r>
      <w:r w:rsidR="00BD1F4D">
        <w:t xml:space="preserve">offer </w:t>
      </w:r>
      <w:r w:rsidR="00E83909">
        <w:t>to attempt to modify the terms of a</w:t>
      </w:r>
      <w:r w:rsidR="00650471">
        <w:t xml:space="preserve"> listing broker’s agreement with their client)</w:t>
      </w:r>
      <w:r w:rsidR="00274B4A">
        <w:t xml:space="preserve"> </w:t>
      </w:r>
      <w:r w:rsidR="00F6095E">
        <w:t xml:space="preserve">is </w:t>
      </w:r>
      <w:r w:rsidR="00312DD8">
        <w:t xml:space="preserve">now extremely </w:t>
      </w:r>
      <w:r w:rsidR="00F6095E">
        <w:t xml:space="preserve">unlikely to happen. </w:t>
      </w:r>
    </w:p>
    <w:p w14:paraId="386BA251" w14:textId="5A12E2EA" w:rsidR="009C4100" w:rsidRDefault="009C4100" w:rsidP="00EF4C97">
      <w:r>
        <w:lastRenderedPageBreak/>
        <w:t xml:space="preserve">Lastly, the amendments to Standard of Practice 3-2 </w:t>
      </w:r>
      <w:r w:rsidR="000B4A56">
        <w:t xml:space="preserve">reflect the </w:t>
      </w:r>
      <w:r w:rsidR="00642DF5">
        <w:t xml:space="preserve">fact that there </w:t>
      </w:r>
      <w:r w:rsidR="00087563">
        <w:t>are</w:t>
      </w:r>
      <w:r w:rsidR="00642DF5">
        <w:t xml:space="preserve"> no longer </w:t>
      </w:r>
      <w:r w:rsidR="00087563">
        <w:t>unilateral offers of compensation communicated through the ML</w:t>
      </w:r>
      <w:r w:rsidR="006A79D2">
        <w:t xml:space="preserve">S while retaining </w:t>
      </w:r>
      <w:r w:rsidR="00BF35EF">
        <w:t>an</w:t>
      </w:r>
      <w:r w:rsidR="006A79D2">
        <w:t xml:space="preserve"> ethical obligation to communicate </w:t>
      </w:r>
      <w:r w:rsidR="00656188">
        <w:t xml:space="preserve">any change in </w:t>
      </w:r>
      <w:r w:rsidR="00F905B9">
        <w:t>compensation that was previously offered</w:t>
      </w:r>
      <w:r w:rsidR="00656188">
        <w:t xml:space="preserve"> as promptly as </w:t>
      </w:r>
      <w:r w:rsidR="00F43D13">
        <w:t xml:space="preserve">possible. </w:t>
      </w:r>
    </w:p>
    <w:p w14:paraId="1F94EB05" w14:textId="77777777" w:rsidR="00040E86" w:rsidRPr="005234BB" w:rsidRDefault="00040E86" w:rsidP="00040E86">
      <w:pPr>
        <w:pStyle w:val="ListParagraph"/>
        <w:keepLines/>
        <w:spacing w:after="0" w:line="240" w:lineRule="auto"/>
        <w:rPr>
          <w:rFonts w:cstheme="minorHAnsi"/>
          <w:b/>
          <w:i/>
          <w:sz w:val="28"/>
        </w:rPr>
      </w:pPr>
    </w:p>
    <w:p w14:paraId="51588D96" w14:textId="1C6E6F72" w:rsidR="00AE3342" w:rsidRDefault="009753E6" w:rsidP="00D44554">
      <w:pPr>
        <w:keepLines/>
        <w:spacing w:after="0" w:line="240" w:lineRule="auto"/>
      </w:pPr>
      <w:r>
        <w:t>Created</w:t>
      </w:r>
      <w:r w:rsidR="00195611">
        <w:t xml:space="preserve"> 6/11/25 dmn</w:t>
      </w:r>
    </w:p>
    <w:sectPr w:rsidR="00AE3342" w:rsidSect="00FC47F5">
      <w:footerReference w:type="first" r:id="rId11"/>
      <w:pgSz w:w="12240" w:h="15840"/>
      <w:pgMar w:top="720" w:right="1008" w:bottom="432" w:left="1008" w:header="432"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ECAFC" w14:textId="77777777" w:rsidR="0096472D" w:rsidRDefault="0096472D" w:rsidP="00E050E1">
      <w:pPr>
        <w:spacing w:after="0" w:line="240" w:lineRule="auto"/>
      </w:pPr>
      <w:r>
        <w:separator/>
      </w:r>
    </w:p>
  </w:endnote>
  <w:endnote w:type="continuationSeparator" w:id="0">
    <w:p w14:paraId="5A2F12B6" w14:textId="77777777" w:rsidR="0096472D" w:rsidRDefault="0096472D" w:rsidP="00E050E1">
      <w:pPr>
        <w:spacing w:after="0" w:line="240" w:lineRule="auto"/>
      </w:pPr>
      <w:r>
        <w:continuationSeparator/>
      </w:r>
    </w:p>
  </w:endnote>
  <w:endnote w:type="continuationNotice" w:id="1">
    <w:p w14:paraId="6B47860B" w14:textId="77777777" w:rsidR="0096472D" w:rsidRDefault="00964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Courier New"/>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49C3" w14:textId="77777777" w:rsidR="007A4B83" w:rsidRDefault="007A4B83" w:rsidP="007A4B83">
    <w:pPr>
      <w:pStyle w:val="Footer"/>
    </w:pPr>
    <w:r>
      <w:rPr>
        <w:noProof/>
      </w:rPr>
      <w:drawing>
        <wp:anchor distT="0" distB="0" distL="114300" distR="114300" simplePos="0" relativeHeight="251658240" behindDoc="0" locked="0" layoutInCell="1" allowOverlap="1" wp14:anchorId="4B928B53" wp14:editId="4FF7D8BA">
          <wp:simplePos x="0" y="0"/>
          <wp:positionH relativeFrom="page">
            <wp:posOffset>5467350</wp:posOffset>
          </wp:positionH>
          <wp:positionV relativeFrom="page">
            <wp:posOffset>9104843</wp:posOffset>
          </wp:positionV>
          <wp:extent cx="1972310" cy="647908"/>
          <wp:effectExtent l="0" t="0" r="889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amp;Tiers:_Images:Tier 1:NAR Tier 1 Logos:1_NAR:For Office:1_NAR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310" cy="64790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55A9B21" w14:textId="77777777" w:rsidR="007A4B83" w:rsidRDefault="00F121F2">
    <w:pPr>
      <w:pStyle w:val="Footer"/>
    </w:pPr>
    <w:r>
      <w:rPr>
        <w:noProof/>
      </w:rPr>
      <w:drawing>
        <wp:anchor distT="0" distB="0" distL="114300" distR="114300" simplePos="0" relativeHeight="251658241" behindDoc="0" locked="0" layoutInCell="1" allowOverlap="1" wp14:anchorId="72422EC9" wp14:editId="7009BF57">
          <wp:simplePos x="0" y="0"/>
          <wp:positionH relativeFrom="margin">
            <wp:align>left</wp:align>
          </wp:positionH>
          <wp:positionV relativeFrom="margin">
            <wp:posOffset>8927465</wp:posOffset>
          </wp:positionV>
          <wp:extent cx="4297680" cy="118745"/>
          <wp:effectExtent l="0" t="0" r="7620" b="0"/>
          <wp:wrapThrough wrapText="bothSides">
            <wp:wrapPolygon edited="0">
              <wp:start x="0" y="0"/>
              <wp:lineTo x="0" y="17326"/>
              <wp:lineTo x="3734" y="17326"/>
              <wp:lineTo x="16181" y="17326"/>
              <wp:lineTo x="21543" y="17326"/>
              <wp:lineTo x="21543" y="0"/>
              <wp:lineTo x="211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_Address_Chicago_1Line_Black_Rev2017.png"/>
                  <pic:cNvPicPr/>
                </pic:nvPicPr>
                <pic:blipFill>
                  <a:blip r:embed="rId2">
                    <a:extLst>
                      <a:ext uri="{28A0092B-C50C-407E-A947-70E740481C1C}">
                        <a14:useLocalDpi xmlns:a14="http://schemas.microsoft.com/office/drawing/2010/main" val="0"/>
                      </a:ext>
                    </a:extLst>
                  </a:blip>
                  <a:stretch>
                    <a:fillRect/>
                  </a:stretch>
                </pic:blipFill>
                <pic:spPr>
                  <a:xfrm>
                    <a:off x="0" y="0"/>
                    <a:ext cx="4297680" cy="1187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2968A" w14:textId="77777777" w:rsidR="0096472D" w:rsidRDefault="0096472D" w:rsidP="00E050E1">
      <w:pPr>
        <w:spacing w:after="0" w:line="240" w:lineRule="auto"/>
      </w:pPr>
      <w:r>
        <w:separator/>
      </w:r>
    </w:p>
  </w:footnote>
  <w:footnote w:type="continuationSeparator" w:id="0">
    <w:p w14:paraId="7A8157B5" w14:textId="77777777" w:rsidR="0096472D" w:rsidRDefault="0096472D" w:rsidP="00E050E1">
      <w:pPr>
        <w:spacing w:after="0" w:line="240" w:lineRule="auto"/>
      </w:pPr>
      <w:r>
        <w:continuationSeparator/>
      </w:r>
    </w:p>
  </w:footnote>
  <w:footnote w:type="continuationNotice" w:id="1">
    <w:p w14:paraId="04690C45" w14:textId="77777777" w:rsidR="0096472D" w:rsidRDefault="009647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653"/>
    <w:multiLevelType w:val="multilevel"/>
    <w:tmpl w:val="5A4CA5E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04920C50"/>
    <w:multiLevelType w:val="hybridMultilevel"/>
    <w:tmpl w:val="C84248AA"/>
    <w:lvl w:ilvl="0" w:tplc="1402DCF4">
      <w:start w:val="1"/>
      <w:numFmt w:val="decimal"/>
      <w:lvlText w:val="%1."/>
      <w:lvlJc w:val="left"/>
      <w:pPr>
        <w:ind w:left="720" w:hanging="360"/>
      </w:pPr>
      <w:rPr>
        <w:rFonts w:cstheme="minorHAnsi" w:hint="default"/>
        <w:b w:val="0"/>
        <w:bCs/>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00BEA"/>
    <w:multiLevelType w:val="hybridMultilevel"/>
    <w:tmpl w:val="81F65A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673E"/>
    <w:multiLevelType w:val="hybridMultilevel"/>
    <w:tmpl w:val="1966A008"/>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3A7FD8"/>
    <w:multiLevelType w:val="hybridMultilevel"/>
    <w:tmpl w:val="14EAA80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596146"/>
    <w:multiLevelType w:val="hybridMultilevel"/>
    <w:tmpl w:val="8E4A2FE8"/>
    <w:lvl w:ilvl="0" w:tplc="BA2CB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4589F"/>
    <w:multiLevelType w:val="hybridMultilevel"/>
    <w:tmpl w:val="1966A008"/>
    <w:lvl w:ilvl="0" w:tplc="01F68D8C">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9083A"/>
    <w:multiLevelType w:val="hybridMultilevel"/>
    <w:tmpl w:val="4ED80268"/>
    <w:lvl w:ilvl="0" w:tplc="AA921E3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906D4"/>
    <w:multiLevelType w:val="hybridMultilevel"/>
    <w:tmpl w:val="30D2698E"/>
    <w:lvl w:ilvl="0" w:tplc="A6467EC8">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02554"/>
    <w:multiLevelType w:val="hybridMultilevel"/>
    <w:tmpl w:val="CA966B20"/>
    <w:lvl w:ilvl="0" w:tplc="2A5420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B34D3"/>
    <w:multiLevelType w:val="hybridMultilevel"/>
    <w:tmpl w:val="6EA4FEFC"/>
    <w:lvl w:ilvl="0" w:tplc="AA040CAE">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F405A6"/>
    <w:multiLevelType w:val="hybridMultilevel"/>
    <w:tmpl w:val="1966A008"/>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D84DB8"/>
    <w:multiLevelType w:val="hybridMultilevel"/>
    <w:tmpl w:val="DA2E8F4A"/>
    <w:lvl w:ilvl="0" w:tplc="A77229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D4CD8"/>
    <w:multiLevelType w:val="hybridMultilevel"/>
    <w:tmpl w:val="C84248AA"/>
    <w:lvl w:ilvl="0" w:tplc="FFFFFFFF">
      <w:start w:val="1"/>
      <w:numFmt w:val="decimal"/>
      <w:lvlText w:val="%1."/>
      <w:lvlJc w:val="left"/>
      <w:pPr>
        <w:ind w:left="720" w:hanging="360"/>
      </w:pPr>
      <w:rPr>
        <w:rFonts w:cstheme="minorHAnsi" w:hint="default"/>
        <w:b w:val="0"/>
        <w:bCs/>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A44C0A"/>
    <w:multiLevelType w:val="hybridMultilevel"/>
    <w:tmpl w:val="1966A008"/>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5D4188"/>
    <w:multiLevelType w:val="hybridMultilevel"/>
    <w:tmpl w:val="7FD0D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A906CE"/>
    <w:multiLevelType w:val="hybridMultilevel"/>
    <w:tmpl w:val="39003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2624D"/>
    <w:multiLevelType w:val="hybridMultilevel"/>
    <w:tmpl w:val="A2F07B0A"/>
    <w:lvl w:ilvl="0" w:tplc="A4EEBD36">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D4B87"/>
    <w:multiLevelType w:val="hybridMultilevel"/>
    <w:tmpl w:val="C84248AA"/>
    <w:lvl w:ilvl="0" w:tplc="FFFFFFFF">
      <w:start w:val="1"/>
      <w:numFmt w:val="decimal"/>
      <w:lvlText w:val="%1."/>
      <w:lvlJc w:val="left"/>
      <w:pPr>
        <w:ind w:left="720" w:hanging="360"/>
      </w:pPr>
      <w:rPr>
        <w:rFonts w:cstheme="minorHAnsi" w:hint="default"/>
        <w:b w:val="0"/>
        <w:bCs/>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2E0E10"/>
    <w:multiLevelType w:val="hybridMultilevel"/>
    <w:tmpl w:val="E47C0660"/>
    <w:lvl w:ilvl="0" w:tplc="FD124086">
      <w:start w:val="1"/>
      <w:numFmt w:val="decimal"/>
      <w:lvlText w:val="%1)"/>
      <w:lvlJc w:val="left"/>
      <w:pPr>
        <w:ind w:left="2160" w:hanging="72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48733035">
    <w:abstractNumId w:val="17"/>
  </w:num>
  <w:num w:numId="2" w16cid:durableId="603730348">
    <w:abstractNumId w:val="8"/>
  </w:num>
  <w:num w:numId="3" w16cid:durableId="867378073">
    <w:abstractNumId w:val="1"/>
  </w:num>
  <w:num w:numId="4" w16cid:durableId="239096589">
    <w:abstractNumId w:val="9"/>
  </w:num>
  <w:num w:numId="5" w16cid:durableId="32845976">
    <w:abstractNumId w:val="12"/>
  </w:num>
  <w:num w:numId="6" w16cid:durableId="1313408226">
    <w:abstractNumId w:val="18"/>
  </w:num>
  <w:num w:numId="7" w16cid:durableId="960502918">
    <w:abstractNumId w:val="7"/>
  </w:num>
  <w:num w:numId="8" w16cid:durableId="1760052957">
    <w:abstractNumId w:val="0"/>
  </w:num>
  <w:num w:numId="9" w16cid:durableId="1018505640">
    <w:abstractNumId w:val="13"/>
  </w:num>
  <w:num w:numId="10" w16cid:durableId="1004868216">
    <w:abstractNumId w:val="6"/>
  </w:num>
  <w:num w:numId="11" w16cid:durableId="1369724544">
    <w:abstractNumId w:val="4"/>
  </w:num>
  <w:num w:numId="12" w16cid:durableId="550767330">
    <w:abstractNumId w:val="15"/>
  </w:num>
  <w:num w:numId="13" w16cid:durableId="1643802866">
    <w:abstractNumId w:val="2"/>
  </w:num>
  <w:num w:numId="14" w16cid:durableId="44110473">
    <w:abstractNumId w:val="19"/>
  </w:num>
  <w:num w:numId="15" w16cid:durableId="835148759">
    <w:abstractNumId w:val="10"/>
  </w:num>
  <w:num w:numId="16" w16cid:durableId="1792745232">
    <w:abstractNumId w:val="14"/>
  </w:num>
  <w:num w:numId="17" w16cid:durableId="1611275019">
    <w:abstractNumId w:val="16"/>
  </w:num>
  <w:num w:numId="18" w16cid:durableId="249391767">
    <w:abstractNumId w:val="3"/>
  </w:num>
  <w:num w:numId="19" w16cid:durableId="1936208143">
    <w:abstractNumId w:val="11"/>
  </w:num>
  <w:num w:numId="20" w16cid:durableId="2002997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99"/>
    <w:rsid w:val="00001415"/>
    <w:rsid w:val="000103EE"/>
    <w:rsid w:val="0001243D"/>
    <w:rsid w:val="00012523"/>
    <w:rsid w:val="000141D3"/>
    <w:rsid w:val="00014708"/>
    <w:rsid w:val="0001494A"/>
    <w:rsid w:val="0002028A"/>
    <w:rsid w:val="00020F74"/>
    <w:rsid w:val="000216F3"/>
    <w:rsid w:val="00030C3F"/>
    <w:rsid w:val="00032A15"/>
    <w:rsid w:val="00040E86"/>
    <w:rsid w:val="0004777B"/>
    <w:rsid w:val="00051879"/>
    <w:rsid w:val="00051A71"/>
    <w:rsid w:val="000567AC"/>
    <w:rsid w:val="000578FE"/>
    <w:rsid w:val="000639ED"/>
    <w:rsid w:val="0006780A"/>
    <w:rsid w:val="000729E1"/>
    <w:rsid w:val="00074BD3"/>
    <w:rsid w:val="0008217E"/>
    <w:rsid w:val="000859D7"/>
    <w:rsid w:val="00085E2A"/>
    <w:rsid w:val="00087563"/>
    <w:rsid w:val="00090DB1"/>
    <w:rsid w:val="00091487"/>
    <w:rsid w:val="00091FF4"/>
    <w:rsid w:val="000A066E"/>
    <w:rsid w:val="000B01E7"/>
    <w:rsid w:val="000B0584"/>
    <w:rsid w:val="000B4A56"/>
    <w:rsid w:val="000B7DC1"/>
    <w:rsid w:val="000C4712"/>
    <w:rsid w:val="000C6648"/>
    <w:rsid w:val="000D1EF8"/>
    <w:rsid w:val="000E24A3"/>
    <w:rsid w:val="00102885"/>
    <w:rsid w:val="00120BDF"/>
    <w:rsid w:val="001222C1"/>
    <w:rsid w:val="00127A82"/>
    <w:rsid w:val="00132D7C"/>
    <w:rsid w:val="0014015D"/>
    <w:rsid w:val="00151397"/>
    <w:rsid w:val="0015488C"/>
    <w:rsid w:val="00164A1C"/>
    <w:rsid w:val="00172C87"/>
    <w:rsid w:val="00175EB3"/>
    <w:rsid w:val="0018081D"/>
    <w:rsid w:val="00180ABF"/>
    <w:rsid w:val="00181844"/>
    <w:rsid w:val="00185DEF"/>
    <w:rsid w:val="00194EA9"/>
    <w:rsid w:val="001954F4"/>
    <w:rsid w:val="00195611"/>
    <w:rsid w:val="001A145C"/>
    <w:rsid w:val="001A3140"/>
    <w:rsid w:val="001A685B"/>
    <w:rsid w:val="001C279D"/>
    <w:rsid w:val="001C56C2"/>
    <w:rsid w:val="001F1290"/>
    <w:rsid w:val="001F4CC8"/>
    <w:rsid w:val="001F663D"/>
    <w:rsid w:val="00201698"/>
    <w:rsid w:val="0020555F"/>
    <w:rsid w:val="00205610"/>
    <w:rsid w:val="002167B3"/>
    <w:rsid w:val="00216DF1"/>
    <w:rsid w:val="00220331"/>
    <w:rsid w:val="00225DB4"/>
    <w:rsid w:val="00236850"/>
    <w:rsid w:val="002368D1"/>
    <w:rsid w:val="002378FC"/>
    <w:rsid w:val="00243460"/>
    <w:rsid w:val="002437E0"/>
    <w:rsid w:val="00243E65"/>
    <w:rsid w:val="00244351"/>
    <w:rsid w:val="002454E4"/>
    <w:rsid w:val="002463CF"/>
    <w:rsid w:val="00246D86"/>
    <w:rsid w:val="002556DF"/>
    <w:rsid w:val="00257AC9"/>
    <w:rsid w:val="00265A5C"/>
    <w:rsid w:val="00274B4A"/>
    <w:rsid w:val="00283290"/>
    <w:rsid w:val="002843A1"/>
    <w:rsid w:val="00287A1B"/>
    <w:rsid w:val="002948A1"/>
    <w:rsid w:val="002A0961"/>
    <w:rsid w:val="002A6A4E"/>
    <w:rsid w:val="002B2AE3"/>
    <w:rsid w:val="002B6096"/>
    <w:rsid w:val="002B60B8"/>
    <w:rsid w:val="002B7705"/>
    <w:rsid w:val="002C0CB4"/>
    <w:rsid w:val="002C44A6"/>
    <w:rsid w:val="002C58DC"/>
    <w:rsid w:val="002D0D0A"/>
    <w:rsid w:val="002D5F50"/>
    <w:rsid w:val="002F6A56"/>
    <w:rsid w:val="002F6C26"/>
    <w:rsid w:val="00306E1B"/>
    <w:rsid w:val="00310098"/>
    <w:rsid w:val="003105DF"/>
    <w:rsid w:val="00312DD8"/>
    <w:rsid w:val="003151D5"/>
    <w:rsid w:val="00317CA0"/>
    <w:rsid w:val="00317FBB"/>
    <w:rsid w:val="00322132"/>
    <w:rsid w:val="00323E6C"/>
    <w:rsid w:val="00333504"/>
    <w:rsid w:val="0034377F"/>
    <w:rsid w:val="00346FC4"/>
    <w:rsid w:val="003526D2"/>
    <w:rsid w:val="0037560E"/>
    <w:rsid w:val="00375F9A"/>
    <w:rsid w:val="00385183"/>
    <w:rsid w:val="003964E8"/>
    <w:rsid w:val="003A411F"/>
    <w:rsid w:val="003A59AA"/>
    <w:rsid w:val="003D55D3"/>
    <w:rsid w:val="003E2A63"/>
    <w:rsid w:val="003E49A7"/>
    <w:rsid w:val="003E4F90"/>
    <w:rsid w:val="003E648E"/>
    <w:rsid w:val="003E6F1D"/>
    <w:rsid w:val="003E7345"/>
    <w:rsid w:val="003E7CE0"/>
    <w:rsid w:val="003F34F5"/>
    <w:rsid w:val="00403F42"/>
    <w:rsid w:val="004135CB"/>
    <w:rsid w:val="004136D6"/>
    <w:rsid w:val="00414E0B"/>
    <w:rsid w:val="00430CCC"/>
    <w:rsid w:val="004419AE"/>
    <w:rsid w:val="00451AC4"/>
    <w:rsid w:val="00482A31"/>
    <w:rsid w:val="004841D9"/>
    <w:rsid w:val="00494709"/>
    <w:rsid w:val="004A0C85"/>
    <w:rsid w:val="004A5327"/>
    <w:rsid w:val="004A5C33"/>
    <w:rsid w:val="004A65B1"/>
    <w:rsid w:val="004B141E"/>
    <w:rsid w:val="004B4219"/>
    <w:rsid w:val="004B65F6"/>
    <w:rsid w:val="004C290B"/>
    <w:rsid w:val="004C4AB1"/>
    <w:rsid w:val="004D525A"/>
    <w:rsid w:val="004D5912"/>
    <w:rsid w:val="004E7BAA"/>
    <w:rsid w:val="004F0C54"/>
    <w:rsid w:val="004F0DC3"/>
    <w:rsid w:val="004F5713"/>
    <w:rsid w:val="0050017B"/>
    <w:rsid w:val="00504454"/>
    <w:rsid w:val="0052305E"/>
    <w:rsid w:val="00542A2F"/>
    <w:rsid w:val="005430ED"/>
    <w:rsid w:val="00544C36"/>
    <w:rsid w:val="00554290"/>
    <w:rsid w:val="005548EF"/>
    <w:rsid w:val="0056339A"/>
    <w:rsid w:val="005648CA"/>
    <w:rsid w:val="00570FAD"/>
    <w:rsid w:val="00583A00"/>
    <w:rsid w:val="0059132C"/>
    <w:rsid w:val="005938CB"/>
    <w:rsid w:val="0059571F"/>
    <w:rsid w:val="005A462E"/>
    <w:rsid w:val="005B16FB"/>
    <w:rsid w:val="005B229B"/>
    <w:rsid w:val="005C3CA4"/>
    <w:rsid w:val="005D50F7"/>
    <w:rsid w:val="005E2AB3"/>
    <w:rsid w:val="005E7B27"/>
    <w:rsid w:val="005E7BA0"/>
    <w:rsid w:val="005F03B4"/>
    <w:rsid w:val="00604BB3"/>
    <w:rsid w:val="00611CA3"/>
    <w:rsid w:val="00612C09"/>
    <w:rsid w:val="00623F1E"/>
    <w:rsid w:val="006359A8"/>
    <w:rsid w:val="00642DF5"/>
    <w:rsid w:val="00650471"/>
    <w:rsid w:val="00652725"/>
    <w:rsid w:val="00656188"/>
    <w:rsid w:val="00656CFD"/>
    <w:rsid w:val="00660133"/>
    <w:rsid w:val="006703F6"/>
    <w:rsid w:val="006719B3"/>
    <w:rsid w:val="006966E1"/>
    <w:rsid w:val="006A3DFB"/>
    <w:rsid w:val="006A79D2"/>
    <w:rsid w:val="006B3C62"/>
    <w:rsid w:val="006C0603"/>
    <w:rsid w:val="006C32AB"/>
    <w:rsid w:val="006D1C34"/>
    <w:rsid w:val="006F0C1C"/>
    <w:rsid w:val="00702C44"/>
    <w:rsid w:val="007231B6"/>
    <w:rsid w:val="0072489B"/>
    <w:rsid w:val="00727CD1"/>
    <w:rsid w:val="00731D81"/>
    <w:rsid w:val="00733CAC"/>
    <w:rsid w:val="0073491E"/>
    <w:rsid w:val="00741A31"/>
    <w:rsid w:val="00754639"/>
    <w:rsid w:val="00757852"/>
    <w:rsid w:val="00762890"/>
    <w:rsid w:val="00763F13"/>
    <w:rsid w:val="007643C9"/>
    <w:rsid w:val="00765382"/>
    <w:rsid w:val="00766586"/>
    <w:rsid w:val="00767066"/>
    <w:rsid w:val="00776846"/>
    <w:rsid w:val="0078056D"/>
    <w:rsid w:val="007821D4"/>
    <w:rsid w:val="00782B9A"/>
    <w:rsid w:val="007834E1"/>
    <w:rsid w:val="0078731D"/>
    <w:rsid w:val="007932EA"/>
    <w:rsid w:val="007943C5"/>
    <w:rsid w:val="00795313"/>
    <w:rsid w:val="007A42F8"/>
    <w:rsid w:val="007A4B83"/>
    <w:rsid w:val="007A50A4"/>
    <w:rsid w:val="007A541A"/>
    <w:rsid w:val="007A739C"/>
    <w:rsid w:val="007B5691"/>
    <w:rsid w:val="007C0625"/>
    <w:rsid w:val="007C4C20"/>
    <w:rsid w:val="007C7337"/>
    <w:rsid w:val="007D0A17"/>
    <w:rsid w:val="007D4918"/>
    <w:rsid w:val="007D56C6"/>
    <w:rsid w:val="007D5E44"/>
    <w:rsid w:val="007D78B6"/>
    <w:rsid w:val="007E4FF3"/>
    <w:rsid w:val="007E7A09"/>
    <w:rsid w:val="007F0519"/>
    <w:rsid w:val="00800D01"/>
    <w:rsid w:val="00801D4E"/>
    <w:rsid w:val="00802D8E"/>
    <w:rsid w:val="00802EE6"/>
    <w:rsid w:val="008032E0"/>
    <w:rsid w:val="00817499"/>
    <w:rsid w:val="00821653"/>
    <w:rsid w:val="008277C8"/>
    <w:rsid w:val="00830FB0"/>
    <w:rsid w:val="0083211A"/>
    <w:rsid w:val="008325EC"/>
    <w:rsid w:val="008410C5"/>
    <w:rsid w:val="00842D66"/>
    <w:rsid w:val="0086048C"/>
    <w:rsid w:val="00861203"/>
    <w:rsid w:val="008630F9"/>
    <w:rsid w:val="00872321"/>
    <w:rsid w:val="008767EB"/>
    <w:rsid w:val="008808CB"/>
    <w:rsid w:val="00883E65"/>
    <w:rsid w:val="008861EE"/>
    <w:rsid w:val="0088747A"/>
    <w:rsid w:val="00891B3B"/>
    <w:rsid w:val="008933D3"/>
    <w:rsid w:val="00895A25"/>
    <w:rsid w:val="00895E25"/>
    <w:rsid w:val="008A08F7"/>
    <w:rsid w:val="008A390F"/>
    <w:rsid w:val="008A619F"/>
    <w:rsid w:val="008A67F1"/>
    <w:rsid w:val="008B39B1"/>
    <w:rsid w:val="008B58A4"/>
    <w:rsid w:val="008B6939"/>
    <w:rsid w:val="008B7E3C"/>
    <w:rsid w:val="008C1CE1"/>
    <w:rsid w:val="008C57DD"/>
    <w:rsid w:val="008C72C6"/>
    <w:rsid w:val="008D0B49"/>
    <w:rsid w:val="008F00FD"/>
    <w:rsid w:val="008F2CB8"/>
    <w:rsid w:val="008F4749"/>
    <w:rsid w:val="008F68BE"/>
    <w:rsid w:val="008F75E1"/>
    <w:rsid w:val="00903E95"/>
    <w:rsid w:val="00903EAC"/>
    <w:rsid w:val="0090632B"/>
    <w:rsid w:val="00917DCD"/>
    <w:rsid w:val="009226E7"/>
    <w:rsid w:val="00922B8F"/>
    <w:rsid w:val="00932792"/>
    <w:rsid w:val="00946793"/>
    <w:rsid w:val="009519D6"/>
    <w:rsid w:val="0096472D"/>
    <w:rsid w:val="00967166"/>
    <w:rsid w:val="00967D1C"/>
    <w:rsid w:val="009728D8"/>
    <w:rsid w:val="00973C17"/>
    <w:rsid w:val="009753E6"/>
    <w:rsid w:val="00981E50"/>
    <w:rsid w:val="00984A62"/>
    <w:rsid w:val="00994926"/>
    <w:rsid w:val="009A27C7"/>
    <w:rsid w:val="009B39E0"/>
    <w:rsid w:val="009C0111"/>
    <w:rsid w:val="009C4100"/>
    <w:rsid w:val="009D6A7D"/>
    <w:rsid w:val="009E0BEE"/>
    <w:rsid w:val="009E4663"/>
    <w:rsid w:val="009E69F6"/>
    <w:rsid w:val="009F7F23"/>
    <w:rsid w:val="00A12E85"/>
    <w:rsid w:val="00A211D7"/>
    <w:rsid w:val="00A21C77"/>
    <w:rsid w:val="00A325FF"/>
    <w:rsid w:val="00A329C0"/>
    <w:rsid w:val="00A40258"/>
    <w:rsid w:val="00A70C7D"/>
    <w:rsid w:val="00A71B94"/>
    <w:rsid w:val="00A76337"/>
    <w:rsid w:val="00A779E4"/>
    <w:rsid w:val="00A80EED"/>
    <w:rsid w:val="00A81B35"/>
    <w:rsid w:val="00A87816"/>
    <w:rsid w:val="00A94B03"/>
    <w:rsid w:val="00AA21F5"/>
    <w:rsid w:val="00AA2E62"/>
    <w:rsid w:val="00AA53F3"/>
    <w:rsid w:val="00AC3DAA"/>
    <w:rsid w:val="00AD1C2A"/>
    <w:rsid w:val="00AD3FF4"/>
    <w:rsid w:val="00AD6E68"/>
    <w:rsid w:val="00AE11B2"/>
    <w:rsid w:val="00AE2E65"/>
    <w:rsid w:val="00AE3342"/>
    <w:rsid w:val="00AF0793"/>
    <w:rsid w:val="00AF0950"/>
    <w:rsid w:val="00AF1789"/>
    <w:rsid w:val="00B05E8B"/>
    <w:rsid w:val="00B06543"/>
    <w:rsid w:val="00B118F3"/>
    <w:rsid w:val="00B15E79"/>
    <w:rsid w:val="00B1645F"/>
    <w:rsid w:val="00B23593"/>
    <w:rsid w:val="00B23F25"/>
    <w:rsid w:val="00B26368"/>
    <w:rsid w:val="00B26F65"/>
    <w:rsid w:val="00B35CA8"/>
    <w:rsid w:val="00B445D0"/>
    <w:rsid w:val="00B5097B"/>
    <w:rsid w:val="00B50ED7"/>
    <w:rsid w:val="00B61561"/>
    <w:rsid w:val="00B6330E"/>
    <w:rsid w:val="00B63A8D"/>
    <w:rsid w:val="00B660BA"/>
    <w:rsid w:val="00B71D20"/>
    <w:rsid w:val="00B7611A"/>
    <w:rsid w:val="00B93786"/>
    <w:rsid w:val="00B964C7"/>
    <w:rsid w:val="00BA1D14"/>
    <w:rsid w:val="00BB4E44"/>
    <w:rsid w:val="00BC2462"/>
    <w:rsid w:val="00BD1F4D"/>
    <w:rsid w:val="00BD2638"/>
    <w:rsid w:val="00BD54D4"/>
    <w:rsid w:val="00BE7A03"/>
    <w:rsid w:val="00BF35EF"/>
    <w:rsid w:val="00C01B10"/>
    <w:rsid w:val="00C05BB7"/>
    <w:rsid w:val="00C1208A"/>
    <w:rsid w:val="00C15917"/>
    <w:rsid w:val="00C21C41"/>
    <w:rsid w:val="00C22121"/>
    <w:rsid w:val="00C22868"/>
    <w:rsid w:val="00C26943"/>
    <w:rsid w:val="00C372E8"/>
    <w:rsid w:val="00C37972"/>
    <w:rsid w:val="00C417B5"/>
    <w:rsid w:val="00C439EC"/>
    <w:rsid w:val="00C44DBD"/>
    <w:rsid w:val="00C47BE0"/>
    <w:rsid w:val="00C52140"/>
    <w:rsid w:val="00C54548"/>
    <w:rsid w:val="00C60F68"/>
    <w:rsid w:val="00C645A6"/>
    <w:rsid w:val="00C65538"/>
    <w:rsid w:val="00C74924"/>
    <w:rsid w:val="00C86B22"/>
    <w:rsid w:val="00CA5DAF"/>
    <w:rsid w:val="00CB156D"/>
    <w:rsid w:val="00CB6E02"/>
    <w:rsid w:val="00CC1D87"/>
    <w:rsid w:val="00CC45A6"/>
    <w:rsid w:val="00CC60A1"/>
    <w:rsid w:val="00CC6D31"/>
    <w:rsid w:val="00CE14BE"/>
    <w:rsid w:val="00CE25E6"/>
    <w:rsid w:val="00CE364D"/>
    <w:rsid w:val="00CF72E1"/>
    <w:rsid w:val="00D01B02"/>
    <w:rsid w:val="00D01EC3"/>
    <w:rsid w:val="00D06FB5"/>
    <w:rsid w:val="00D10C9C"/>
    <w:rsid w:val="00D1282E"/>
    <w:rsid w:val="00D14962"/>
    <w:rsid w:val="00D16DF1"/>
    <w:rsid w:val="00D34FAA"/>
    <w:rsid w:val="00D44554"/>
    <w:rsid w:val="00D62FFF"/>
    <w:rsid w:val="00D7494F"/>
    <w:rsid w:val="00D77D2B"/>
    <w:rsid w:val="00D833E2"/>
    <w:rsid w:val="00D84AA9"/>
    <w:rsid w:val="00D867F3"/>
    <w:rsid w:val="00D87172"/>
    <w:rsid w:val="00D90F46"/>
    <w:rsid w:val="00D92BB7"/>
    <w:rsid w:val="00DA3246"/>
    <w:rsid w:val="00DA627E"/>
    <w:rsid w:val="00DA6639"/>
    <w:rsid w:val="00DB049E"/>
    <w:rsid w:val="00DB615B"/>
    <w:rsid w:val="00DC1B4F"/>
    <w:rsid w:val="00DC3096"/>
    <w:rsid w:val="00DC6723"/>
    <w:rsid w:val="00DD0ED1"/>
    <w:rsid w:val="00DD2F0E"/>
    <w:rsid w:val="00DD65CC"/>
    <w:rsid w:val="00DE395E"/>
    <w:rsid w:val="00DE7D97"/>
    <w:rsid w:val="00E03A6D"/>
    <w:rsid w:val="00E050E1"/>
    <w:rsid w:val="00E11B1A"/>
    <w:rsid w:val="00E14F8D"/>
    <w:rsid w:val="00E16837"/>
    <w:rsid w:val="00E1732B"/>
    <w:rsid w:val="00E17868"/>
    <w:rsid w:val="00E21644"/>
    <w:rsid w:val="00E31EA5"/>
    <w:rsid w:val="00E32076"/>
    <w:rsid w:val="00E32BF1"/>
    <w:rsid w:val="00E344C6"/>
    <w:rsid w:val="00E366DF"/>
    <w:rsid w:val="00E373E4"/>
    <w:rsid w:val="00E424C7"/>
    <w:rsid w:val="00E45465"/>
    <w:rsid w:val="00E528CF"/>
    <w:rsid w:val="00E62415"/>
    <w:rsid w:val="00E632DB"/>
    <w:rsid w:val="00E66D80"/>
    <w:rsid w:val="00E76304"/>
    <w:rsid w:val="00E822D2"/>
    <w:rsid w:val="00E83909"/>
    <w:rsid w:val="00E848F8"/>
    <w:rsid w:val="00E87D63"/>
    <w:rsid w:val="00EA208C"/>
    <w:rsid w:val="00EA4343"/>
    <w:rsid w:val="00EA6A74"/>
    <w:rsid w:val="00EB16FA"/>
    <w:rsid w:val="00EB3446"/>
    <w:rsid w:val="00EB6AD6"/>
    <w:rsid w:val="00EB6FB5"/>
    <w:rsid w:val="00EC0477"/>
    <w:rsid w:val="00EC2F8B"/>
    <w:rsid w:val="00EC3836"/>
    <w:rsid w:val="00ED3D55"/>
    <w:rsid w:val="00ED49D5"/>
    <w:rsid w:val="00ED6A18"/>
    <w:rsid w:val="00EF4C97"/>
    <w:rsid w:val="00EF4FF3"/>
    <w:rsid w:val="00EF78E7"/>
    <w:rsid w:val="00F00788"/>
    <w:rsid w:val="00F03908"/>
    <w:rsid w:val="00F121F2"/>
    <w:rsid w:val="00F15BF3"/>
    <w:rsid w:val="00F175C2"/>
    <w:rsid w:val="00F2446B"/>
    <w:rsid w:val="00F265D0"/>
    <w:rsid w:val="00F27459"/>
    <w:rsid w:val="00F321CC"/>
    <w:rsid w:val="00F34CA0"/>
    <w:rsid w:val="00F35044"/>
    <w:rsid w:val="00F3615B"/>
    <w:rsid w:val="00F417A1"/>
    <w:rsid w:val="00F43D13"/>
    <w:rsid w:val="00F528E7"/>
    <w:rsid w:val="00F6095E"/>
    <w:rsid w:val="00F6398A"/>
    <w:rsid w:val="00F661B4"/>
    <w:rsid w:val="00F7781E"/>
    <w:rsid w:val="00F905B9"/>
    <w:rsid w:val="00F909D7"/>
    <w:rsid w:val="00F97CB2"/>
    <w:rsid w:val="00FA6C6C"/>
    <w:rsid w:val="00FB5445"/>
    <w:rsid w:val="00FC15ED"/>
    <w:rsid w:val="00FC47F5"/>
    <w:rsid w:val="00FE1CE6"/>
    <w:rsid w:val="00FE5FC8"/>
    <w:rsid w:val="00FF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1237F"/>
  <w15:chartTrackingRefBased/>
  <w15:docId w15:val="{D9A6AC98-6EDF-433A-AE95-F8B9B1CF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0E1"/>
  </w:style>
  <w:style w:type="paragraph" w:styleId="Footer">
    <w:name w:val="footer"/>
    <w:basedOn w:val="Normal"/>
    <w:link w:val="FooterChar"/>
    <w:uiPriority w:val="99"/>
    <w:unhideWhenUsed/>
    <w:rsid w:val="00E05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0E1"/>
  </w:style>
  <w:style w:type="table" w:styleId="TableGrid">
    <w:name w:val="Table Grid"/>
    <w:basedOn w:val="TableNormal"/>
    <w:uiPriority w:val="59"/>
    <w:rsid w:val="00D833E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83"/>
    <w:rPr>
      <w:rFonts w:ascii="Segoe UI" w:hAnsi="Segoe UI" w:cs="Segoe UI"/>
      <w:sz w:val="18"/>
      <w:szCs w:val="18"/>
    </w:rPr>
  </w:style>
  <w:style w:type="paragraph" w:styleId="PlainText">
    <w:name w:val="Plain Text"/>
    <w:basedOn w:val="Normal"/>
    <w:link w:val="PlainTextChar"/>
    <w:uiPriority w:val="99"/>
    <w:unhideWhenUsed/>
    <w:rsid w:val="0081749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7499"/>
    <w:rPr>
      <w:rFonts w:ascii="Calibri" w:hAnsi="Calibri"/>
      <w:szCs w:val="21"/>
    </w:rPr>
  </w:style>
  <w:style w:type="character" w:styleId="Hyperlink">
    <w:name w:val="Hyperlink"/>
    <w:basedOn w:val="DefaultParagraphFont"/>
    <w:uiPriority w:val="99"/>
    <w:semiHidden/>
    <w:unhideWhenUsed/>
    <w:rsid w:val="006A3DFB"/>
    <w:rPr>
      <w:color w:val="0000FF"/>
      <w:u w:val="single"/>
    </w:rPr>
  </w:style>
  <w:style w:type="paragraph" w:customStyle="1" w:styleId="Default">
    <w:name w:val="Default"/>
    <w:rsid w:val="006A3DF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A3DFB"/>
    <w:pPr>
      <w:ind w:left="720"/>
      <w:contextualSpacing/>
    </w:pPr>
  </w:style>
  <w:style w:type="paragraph" w:customStyle="1" w:styleId="LetterListHanging">
    <w:name w:val="Letter List Hanging"/>
    <w:basedOn w:val="Normal"/>
    <w:qFormat/>
    <w:rsid w:val="00102885"/>
    <w:pPr>
      <w:keepLines/>
      <w:suppressAutoHyphens/>
      <w:spacing w:after="180" w:line="240" w:lineRule="auto"/>
      <w:ind w:left="360" w:hanging="360"/>
    </w:pPr>
    <w:rPr>
      <w:rFonts w:ascii="Calibri" w:eastAsia="MS Mincho" w:hAnsi="Calibri" w:cs="Times New Roman"/>
      <w:szCs w:val="24"/>
    </w:rPr>
  </w:style>
  <w:style w:type="character" w:styleId="Strong">
    <w:name w:val="Strong"/>
    <w:basedOn w:val="DefaultParagraphFont"/>
    <w:uiPriority w:val="22"/>
    <w:qFormat/>
    <w:rsid w:val="004841D9"/>
    <w:rPr>
      <w:b/>
      <w:bCs/>
    </w:rPr>
  </w:style>
  <w:style w:type="character" w:styleId="Emphasis">
    <w:name w:val="Emphasis"/>
    <w:uiPriority w:val="20"/>
    <w:qFormat/>
    <w:rsid w:val="00E32BF1"/>
    <w:rPr>
      <w:i/>
      <w:iCs/>
    </w:rPr>
  </w:style>
  <w:style w:type="paragraph" w:customStyle="1" w:styleId="NumberedList">
    <w:name w:val="Numbered List"/>
    <w:basedOn w:val="Normal"/>
    <w:qFormat/>
    <w:rsid w:val="00220331"/>
    <w:pPr>
      <w:keepLines/>
      <w:suppressAutoHyphens/>
      <w:spacing w:after="0" w:line="240" w:lineRule="auto"/>
      <w:ind w:left="533" w:hanging="360"/>
    </w:pPr>
    <w:rPr>
      <w:rFonts w:ascii="Calibri" w:eastAsia="Times New Roman" w:hAnsi="Calibri" w:cs="Times New Roman"/>
      <w:szCs w:val="24"/>
    </w:rPr>
  </w:style>
  <w:style w:type="paragraph" w:customStyle="1" w:styleId="BulletReg">
    <w:name w:val="Bullet Reg"/>
    <w:basedOn w:val="Normal"/>
    <w:qFormat/>
    <w:rsid w:val="00220331"/>
    <w:pPr>
      <w:keepLines/>
      <w:widowControl w:val="0"/>
      <w:suppressAutoHyphens/>
      <w:autoSpaceDE w:val="0"/>
      <w:autoSpaceDN w:val="0"/>
      <w:adjustRightInd w:val="0"/>
      <w:spacing w:after="120" w:line="240" w:lineRule="auto"/>
      <w:ind w:left="173" w:hanging="173"/>
    </w:pPr>
    <w:rPr>
      <w:rFonts w:ascii="Calibri" w:eastAsia="Times New Roman" w:hAnsi="Calibri" w:cs="Times-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686933">
      <w:bodyDiv w:val="1"/>
      <w:marLeft w:val="0"/>
      <w:marRight w:val="0"/>
      <w:marTop w:val="0"/>
      <w:marBottom w:val="0"/>
      <w:divBdr>
        <w:top w:val="none" w:sz="0" w:space="0" w:color="auto"/>
        <w:left w:val="none" w:sz="0" w:space="0" w:color="auto"/>
        <w:bottom w:val="none" w:sz="0" w:space="0" w:color="auto"/>
        <w:right w:val="none" w:sz="0" w:space="0" w:color="auto"/>
      </w:divBdr>
    </w:div>
    <w:div w:id="943415081">
      <w:bodyDiv w:val="1"/>
      <w:marLeft w:val="0"/>
      <w:marRight w:val="0"/>
      <w:marTop w:val="0"/>
      <w:marBottom w:val="0"/>
      <w:divBdr>
        <w:top w:val="none" w:sz="0" w:space="0" w:color="auto"/>
        <w:left w:val="none" w:sz="0" w:space="0" w:color="auto"/>
        <w:bottom w:val="none" w:sz="0" w:space="0" w:color="auto"/>
        <w:right w:val="none" w:sz="0" w:space="0" w:color="auto"/>
      </w:divBdr>
    </w:div>
    <w:div w:id="1935821093">
      <w:bodyDiv w:val="1"/>
      <w:marLeft w:val="0"/>
      <w:marRight w:val="0"/>
      <w:marTop w:val="0"/>
      <w:marBottom w:val="0"/>
      <w:divBdr>
        <w:top w:val="none" w:sz="0" w:space="0" w:color="auto"/>
        <w:left w:val="none" w:sz="0" w:space="0" w:color="auto"/>
        <w:bottom w:val="none" w:sz="0" w:space="0" w:color="auto"/>
        <w:right w:val="none" w:sz="0" w:space="0" w:color="auto"/>
      </w:divBdr>
    </w:div>
    <w:div w:id="19907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epke\Downloads\Committee%20Report%20Template_May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D5EC4-B51E-4F69-A6C0-56D353854F39}">
  <ds:schemaRefs>
    <ds:schemaRef ds:uri="http://schemas.openxmlformats.org/officeDocument/2006/bibliography"/>
  </ds:schemaRefs>
</ds:datastoreItem>
</file>

<file path=customXml/itemProps2.xml><?xml version="1.0" encoding="utf-8"?>
<ds:datastoreItem xmlns:ds="http://schemas.openxmlformats.org/officeDocument/2006/customXml" ds:itemID="{ACBA95E5-49B4-4B5F-9711-AEE0D2E522F6}">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3.xml><?xml version="1.0" encoding="utf-8"?>
<ds:datastoreItem xmlns:ds="http://schemas.openxmlformats.org/officeDocument/2006/customXml" ds:itemID="{014C4A12-EB60-4DDF-B4CF-01EECD054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F7B17-97C6-4716-9234-D39BBE583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Committee Report Template_May2023</Template>
  <TotalTime>2</TotalTime>
  <Pages>5</Pages>
  <Words>1895</Words>
  <Characters>10803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Selection.TypeParagraph</vt:lpstr>
    </vt:vector>
  </TitlesOfParts>
  <Company>NAR</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Selection.TypeParagraph</dc:title>
  <dc:subject/>
  <dc:creator>Daniel Doepke</dc:creator>
  <cp:keywords/>
  <dc:description/>
  <cp:lastModifiedBy>Christopher Harrigan</cp:lastModifiedBy>
  <cp:revision>2</cp:revision>
  <cp:lastPrinted>2025-06-04T13:06:00Z</cp:lastPrinted>
  <dcterms:created xsi:type="dcterms:W3CDTF">2025-06-13T15:24:00Z</dcterms:created>
  <dcterms:modified xsi:type="dcterms:W3CDTF">2025-06-13T15:24:00Z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y fmtid="{D5CDD505-2E9C-101B-9397-08002B2CF9AE}" pid="3" name="MediaServiceImageTags">
    <vt:lpwstr/>
  </property>
</Properties>
</file>