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B9" w:rsidRPr="00C17D1A" w:rsidRDefault="005B59B9" w:rsidP="00C17D1A">
      <w:pPr>
        <w:pStyle w:val="BodyText2"/>
        <w:rPr>
          <w:b/>
          <w:sz w:val="24"/>
          <w:szCs w:val="24"/>
        </w:rPr>
      </w:pPr>
    </w:p>
    <w:p w:rsidR="00490DAA" w:rsidRPr="00C17D1A" w:rsidRDefault="00490DAA" w:rsidP="00C17D1A">
      <w:pPr>
        <w:pStyle w:val="BodyText2"/>
        <w:rPr>
          <w:b/>
          <w:sz w:val="24"/>
          <w:szCs w:val="24"/>
        </w:rPr>
      </w:pPr>
      <w:r w:rsidRPr="00C17D1A">
        <w:rPr>
          <w:b/>
          <w:sz w:val="24"/>
          <w:szCs w:val="24"/>
        </w:rPr>
        <w:t>Form #E-15</w:t>
      </w:r>
    </w:p>
    <w:p w:rsidR="00490DAA" w:rsidRPr="00C17D1A" w:rsidRDefault="00490DAA">
      <w:pPr>
        <w:pStyle w:val="BodyText2"/>
        <w:jc w:val="center"/>
        <w:rPr>
          <w:b/>
          <w:sz w:val="24"/>
          <w:szCs w:val="24"/>
        </w:rPr>
      </w:pPr>
      <w:r w:rsidRPr="00C17D1A">
        <w:rPr>
          <w:b/>
          <w:sz w:val="24"/>
          <w:szCs w:val="24"/>
        </w:rPr>
        <w:t>Checklist of Professional Standards Concerns</w:t>
      </w:r>
    </w:p>
    <w:p w:rsidR="00490DAA" w:rsidRPr="00C17D1A" w:rsidRDefault="00490DAA">
      <w:pPr>
        <w:pStyle w:val="BodyText2"/>
        <w:jc w:val="center"/>
        <w:rPr>
          <w:b/>
          <w:sz w:val="24"/>
          <w:szCs w:val="24"/>
        </w:rPr>
      </w:pPr>
      <w:proofErr w:type="gramStart"/>
      <w:r w:rsidRPr="00C17D1A">
        <w:rPr>
          <w:b/>
          <w:sz w:val="24"/>
          <w:szCs w:val="24"/>
        </w:rPr>
        <w:t>for</w:t>
      </w:r>
      <w:proofErr w:type="gramEnd"/>
      <w:r w:rsidRPr="00C17D1A">
        <w:rPr>
          <w:b/>
          <w:sz w:val="24"/>
          <w:szCs w:val="24"/>
        </w:rPr>
        <w:t xml:space="preserve"> Elected Officers and Directors and for</w:t>
      </w:r>
    </w:p>
    <w:p w:rsidR="00490DAA" w:rsidRPr="00C17D1A" w:rsidRDefault="00490DAA">
      <w:pPr>
        <w:pStyle w:val="BodyText2"/>
        <w:jc w:val="center"/>
        <w:rPr>
          <w:b/>
          <w:sz w:val="24"/>
          <w:szCs w:val="24"/>
          <w:vertAlign w:val="superscript"/>
        </w:rPr>
      </w:pPr>
      <w:r w:rsidRPr="00C17D1A">
        <w:rPr>
          <w:b/>
          <w:sz w:val="24"/>
          <w:szCs w:val="24"/>
        </w:rPr>
        <w:t xml:space="preserve">Executive Officers of Boards of </w:t>
      </w:r>
      <w:r w:rsidRPr="00C17D1A">
        <w:rPr>
          <w:b/>
          <w:smallCaps/>
          <w:sz w:val="24"/>
          <w:szCs w:val="24"/>
        </w:rPr>
        <w:t>Realtors</w:t>
      </w:r>
      <w:r w:rsidRPr="00C17D1A">
        <w:rPr>
          <w:b/>
          <w:sz w:val="24"/>
          <w:szCs w:val="24"/>
          <w:vertAlign w:val="superscript"/>
        </w:rPr>
        <w:t>®</w:t>
      </w:r>
    </w:p>
    <w:p w:rsidR="00490DAA" w:rsidRDefault="00490DAA">
      <w:pPr>
        <w:pStyle w:val="BodyText2"/>
      </w:pPr>
    </w:p>
    <w:p w:rsidR="00A1622E" w:rsidRPr="00A1622E" w:rsidRDefault="00C7779B" w:rsidP="00E316E4">
      <w:pPr>
        <w:pStyle w:val="BodyText2"/>
        <w:tabs>
          <w:tab w:val="left" w:pos="810"/>
        </w:tabs>
        <w:ind w:left="562" w:hanging="562"/>
        <w:jc w:val="left"/>
      </w:pPr>
      <w:r w:rsidRPr="00AD043A">
        <w:rPr>
          <w:sz w:val="22"/>
          <w:szCs w:val="22"/>
        </w:rPr>
        <w:sym w:font="Wingdings" w:char="F072"/>
      </w:r>
      <w:r w:rsidR="00490DAA" w:rsidRPr="00AD043A">
        <w:rPr>
          <w:sz w:val="22"/>
          <w:szCs w:val="22"/>
        </w:rPr>
        <w:t xml:space="preserve"> </w:t>
      </w:r>
      <w:r w:rsidR="00A1622E" w:rsidRPr="00AD043A">
        <w:rPr>
          <w:sz w:val="22"/>
          <w:szCs w:val="22"/>
        </w:rPr>
        <w:t xml:space="preserve"> </w:t>
      </w:r>
      <w:r w:rsidR="00A1622E" w:rsidRPr="00A1622E">
        <w:t xml:space="preserve">  </w:t>
      </w:r>
      <w:r w:rsidR="00332076">
        <w:t xml:space="preserve"> </w:t>
      </w:r>
      <w:r w:rsidR="00490DAA" w:rsidRPr="00A1622E">
        <w:t xml:space="preserve"> </w:t>
      </w:r>
      <w:r w:rsidR="00C17D1A">
        <w:t xml:space="preserve"> </w:t>
      </w:r>
      <w:r w:rsidR="00490DAA" w:rsidRPr="00A1622E">
        <w:t>(1)</w:t>
      </w:r>
      <w:r w:rsidR="00E316E4" w:rsidRPr="00A1622E">
        <w:tab/>
      </w:r>
      <w:r w:rsidR="00A1622E" w:rsidRPr="00A1622E">
        <w:t xml:space="preserve"> </w:t>
      </w:r>
      <w:r w:rsidR="00C17D1A">
        <w:t xml:space="preserve"> </w:t>
      </w:r>
      <w:r w:rsidR="00490DAA" w:rsidRPr="00A1622E">
        <w:rPr>
          <w:b/>
        </w:rPr>
        <w:t>Concern</w:t>
      </w:r>
      <w:r w:rsidR="00490DAA" w:rsidRPr="00A1622E">
        <w:t xml:space="preserve"> for the obligation of the Board to enforce the Code of Ethics (see Article IV, Bylaws, </w:t>
      </w:r>
      <w:r w:rsidR="00E316E4" w:rsidRPr="00A1622E">
        <w:tab/>
      </w:r>
      <w:r w:rsidR="00E316E4" w:rsidRPr="00A1622E">
        <w:tab/>
      </w:r>
      <w:r w:rsidR="00A1622E" w:rsidRPr="00A1622E">
        <w:t xml:space="preserve"> </w:t>
      </w:r>
    </w:p>
    <w:p w:rsidR="00490DAA" w:rsidRPr="00A1622E" w:rsidRDefault="00A1622E" w:rsidP="00E316E4">
      <w:pPr>
        <w:pStyle w:val="BodyText2"/>
        <w:tabs>
          <w:tab w:val="left" w:pos="810"/>
        </w:tabs>
        <w:ind w:left="562" w:hanging="562"/>
        <w:jc w:val="left"/>
      </w:pPr>
      <w:r w:rsidRPr="00A1622E">
        <w:tab/>
      </w:r>
      <w:r w:rsidRPr="00A1622E">
        <w:tab/>
        <w:t xml:space="preserve"> </w:t>
      </w:r>
      <w:r w:rsidR="00C17D1A">
        <w:t xml:space="preserve"> </w:t>
      </w:r>
      <w:r w:rsidRPr="00A1622E">
        <w:t xml:space="preserve"> </w:t>
      </w:r>
      <w:r w:rsidR="00490DAA" w:rsidRPr="00A1622E">
        <w:rPr>
          <w:smallCaps/>
        </w:rPr>
        <w:t>National Association of Realtors</w:t>
      </w:r>
      <w:r w:rsidR="00490DAA" w:rsidRPr="00A1622E">
        <w:rPr>
          <w:vertAlign w:val="superscript"/>
        </w:rPr>
        <w:t>®</w:t>
      </w:r>
      <w:r w:rsidR="00490DAA" w:rsidRPr="00A1622E">
        <w:t>).</w:t>
      </w:r>
    </w:p>
    <w:p w:rsidR="00490DAA" w:rsidRPr="00A1622E" w:rsidRDefault="00490DAA">
      <w:pPr>
        <w:pStyle w:val="BodyText2"/>
        <w:ind w:left="562" w:hanging="562"/>
      </w:pPr>
    </w:p>
    <w:p w:rsidR="00A1622E" w:rsidRPr="00A1622E" w:rsidRDefault="00C7779B" w:rsidP="00E316E4">
      <w:pPr>
        <w:pStyle w:val="BodyText2"/>
        <w:tabs>
          <w:tab w:val="left" w:pos="720"/>
          <w:tab w:val="left" w:pos="810"/>
          <w:tab w:val="left" w:pos="1620"/>
        </w:tabs>
        <w:ind w:left="562" w:hanging="562"/>
        <w:jc w:val="left"/>
      </w:pPr>
      <w:r w:rsidRPr="00AD043A">
        <w:rPr>
          <w:sz w:val="22"/>
          <w:szCs w:val="22"/>
        </w:rPr>
        <w:sym w:font="Wingdings" w:char="F072"/>
      </w:r>
      <w:r w:rsidR="00490DAA" w:rsidRPr="00A1622E">
        <w:t xml:space="preserve">   </w:t>
      </w:r>
      <w:r w:rsidR="00A1622E" w:rsidRPr="00A1622E">
        <w:t xml:space="preserve"> </w:t>
      </w:r>
      <w:r w:rsidR="00855202" w:rsidRPr="00A1622E">
        <w:t xml:space="preserve"> </w:t>
      </w:r>
      <w:r w:rsidR="00332076">
        <w:t xml:space="preserve"> </w:t>
      </w:r>
      <w:r w:rsidR="00C17D1A">
        <w:t xml:space="preserve"> </w:t>
      </w:r>
      <w:r w:rsidR="00490DAA" w:rsidRPr="00A1622E">
        <w:t>(2) </w:t>
      </w:r>
      <w:r w:rsidR="00A1622E" w:rsidRPr="00A1622E">
        <w:t xml:space="preserve">  </w:t>
      </w:r>
      <w:r w:rsidR="00332076">
        <w:t xml:space="preserve"> </w:t>
      </w:r>
      <w:r w:rsidR="00490DAA" w:rsidRPr="00A1622E">
        <w:rPr>
          <w:b/>
        </w:rPr>
        <w:t>Concern</w:t>
      </w:r>
      <w:r w:rsidR="00490DAA" w:rsidRPr="00A1622E">
        <w:t xml:space="preserve"> for the enhanced public image and credibility of </w:t>
      </w:r>
      <w:r w:rsidR="00490DAA" w:rsidRPr="00A1622E">
        <w:rPr>
          <w:smallCaps/>
        </w:rPr>
        <w:t>Realtors</w:t>
      </w:r>
      <w:r w:rsidR="00490DAA" w:rsidRPr="00A1622E">
        <w:rPr>
          <w:vertAlign w:val="superscript"/>
        </w:rPr>
        <w:t>®</w:t>
      </w:r>
      <w:r w:rsidR="00490DAA" w:rsidRPr="00A1622E">
        <w:t xml:space="preserve">, </w:t>
      </w:r>
      <w:proofErr w:type="spellStart"/>
      <w:r w:rsidR="00490DAA" w:rsidRPr="00A1622E">
        <w:rPr>
          <w:smallCaps/>
        </w:rPr>
        <w:t>Realtor-Associate</w:t>
      </w:r>
      <w:r w:rsidR="00490DAA" w:rsidRPr="00A1622E">
        <w:rPr>
          <w:vertAlign w:val="superscript"/>
        </w:rPr>
        <w:t>®</w:t>
      </w:r>
      <w:r w:rsidR="00490DAA" w:rsidRPr="00A1622E">
        <w:t>s</w:t>
      </w:r>
      <w:proofErr w:type="spellEnd"/>
      <w:r w:rsidR="00490DAA" w:rsidRPr="00A1622E">
        <w:t xml:space="preserve">, </w:t>
      </w:r>
      <w:r w:rsidR="00332076">
        <w:tab/>
      </w:r>
    </w:p>
    <w:p w:rsidR="00490DAA" w:rsidRPr="00A1622E" w:rsidRDefault="00A1622E" w:rsidP="00E316E4">
      <w:pPr>
        <w:pStyle w:val="BodyText2"/>
        <w:tabs>
          <w:tab w:val="left" w:pos="720"/>
          <w:tab w:val="left" w:pos="810"/>
          <w:tab w:val="left" w:pos="1620"/>
        </w:tabs>
        <w:ind w:left="562" w:hanging="562"/>
        <w:jc w:val="left"/>
      </w:pPr>
      <w:r w:rsidRPr="00A1622E">
        <w:t xml:space="preserve">                 </w:t>
      </w:r>
      <w:r w:rsidR="00332076">
        <w:t xml:space="preserve"> </w:t>
      </w:r>
      <w:r w:rsidR="00C17D1A">
        <w:t xml:space="preserve">  </w:t>
      </w:r>
      <w:proofErr w:type="gramStart"/>
      <w:r w:rsidR="00490DAA" w:rsidRPr="00A1622E">
        <w:t>and</w:t>
      </w:r>
      <w:proofErr w:type="gramEnd"/>
      <w:r w:rsidR="00490DAA" w:rsidRPr="00A1622E">
        <w:t xml:space="preserve"> the Board.</w:t>
      </w:r>
    </w:p>
    <w:p w:rsidR="00490DAA" w:rsidRPr="00A1622E" w:rsidRDefault="00490DAA">
      <w:pPr>
        <w:pStyle w:val="BodyText2"/>
        <w:ind w:left="562" w:hanging="562"/>
      </w:pPr>
    </w:p>
    <w:p w:rsidR="00A1622E" w:rsidRPr="00A1622E" w:rsidRDefault="00C7779B" w:rsidP="00E316E4">
      <w:pPr>
        <w:pStyle w:val="BodyText2"/>
        <w:tabs>
          <w:tab w:val="left" w:pos="1890"/>
        </w:tabs>
        <w:ind w:left="810" w:hanging="810"/>
        <w:jc w:val="left"/>
      </w:pPr>
      <w:r w:rsidRPr="00AD043A">
        <w:rPr>
          <w:sz w:val="22"/>
          <w:szCs w:val="22"/>
        </w:rPr>
        <w:sym w:font="Wingdings" w:char="F072"/>
      </w:r>
      <w:r w:rsidR="00490DAA" w:rsidRPr="00AD043A">
        <w:rPr>
          <w:sz w:val="22"/>
          <w:szCs w:val="22"/>
        </w:rPr>
        <w:t> </w:t>
      </w:r>
      <w:r w:rsidR="00490DAA" w:rsidRPr="00A1622E">
        <w:t xml:space="preserve">  </w:t>
      </w:r>
      <w:r w:rsidR="00A1622E" w:rsidRPr="00A1622E">
        <w:t xml:space="preserve">  </w:t>
      </w:r>
      <w:r w:rsidR="00332076">
        <w:t xml:space="preserve">  </w:t>
      </w:r>
      <w:r w:rsidR="00490DAA" w:rsidRPr="00A1622E">
        <w:t>(3)</w:t>
      </w:r>
      <w:r w:rsidR="00A1622E" w:rsidRPr="00A1622E">
        <w:t xml:space="preserve">   </w:t>
      </w:r>
      <w:r w:rsidR="00490DAA" w:rsidRPr="00A1622E">
        <w:rPr>
          <w:b/>
        </w:rPr>
        <w:t>Concern</w:t>
      </w:r>
      <w:r w:rsidR="00490DAA" w:rsidRPr="00A1622E">
        <w:t xml:space="preserve"> for liability of the Board related to Code enforcement—minimal if correct; serious if done </w:t>
      </w:r>
      <w:r w:rsidR="00A1622E" w:rsidRPr="00A1622E">
        <w:t xml:space="preserve">  </w:t>
      </w:r>
    </w:p>
    <w:p w:rsidR="00490DAA" w:rsidRPr="00A1622E" w:rsidRDefault="00332076" w:rsidP="00E316E4">
      <w:pPr>
        <w:pStyle w:val="BodyText2"/>
        <w:tabs>
          <w:tab w:val="left" w:pos="1890"/>
        </w:tabs>
        <w:ind w:left="810" w:hanging="810"/>
        <w:jc w:val="left"/>
      </w:pPr>
      <w:r>
        <w:t xml:space="preserve"> </w:t>
      </w:r>
      <w:r>
        <w:tab/>
        <w:t xml:space="preserve"> </w:t>
      </w:r>
      <w:r w:rsidR="00C17D1A">
        <w:t xml:space="preserve"> </w:t>
      </w:r>
      <w:r w:rsidR="00A1622E" w:rsidRPr="00A1622E">
        <w:t xml:space="preserve"> </w:t>
      </w:r>
      <w:proofErr w:type="gramStart"/>
      <w:r w:rsidR="00E316E4" w:rsidRPr="00A1622E">
        <w:t>i</w:t>
      </w:r>
      <w:r w:rsidR="00490DAA" w:rsidRPr="00A1622E">
        <w:t>naccurately</w:t>
      </w:r>
      <w:proofErr w:type="gramEnd"/>
      <w:r w:rsidR="00490DAA" w:rsidRPr="00A1622E">
        <w:t xml:space="preserve"> or inappropriately.</w:t>
      </w:r>
    </w:p>
    <w:p w:rsidR="00490DAA" w:rsidRPr="00A1622E" w:rsidRDefault="00490DAA">
      <w:pPr>
        <w:pStyle w:val="BodyText2"/>
        <w:ind w:left="562" w:hanging="562"/>
      </w:pPr>
    </w:p>
    <w:p w:rsidR="00490DAA" w:rsidRPr="00A1622E" w:rsidRDefault="00C7779B" w:rsidP="00E316E4">
      <w:pPr>
        <w:pStyle w:val="BodyText2"/>
        <w:ind w:left="562" w:hanging="562"/>
        <w:jc w:val="left"/>
      </w:pPr>
      <w:r w:rsidRPr="00AD043A">
        <w:rPr>
          <w:sz w:val="22"/>
          <w:szCs w:val="22"/>
        </w:rPr>
        <w:sym w:font="Wingdings" w:char="F072"/>
      </w:r>
      <w:r w:rsidR="00490DAA" w:rsidRPr="00AD043A">
        <w:rPr>
          <w:sz w:val="22"/>
          <w:szCs w:val="22"/>
        </w:rPr>
        <w:t> </w:t>
      </w:r>
      <w:r w:rsidR="00490DAA" w:rsidRPr="00A1622E">
        <w:t> </w:t>
      </w:r>
      <w:r w:rsidR="00855202" w:rsidRPr="00A1622E">
        <w:t xml:space="preserve"> </w:t>
      </w:r>
      <w:r w:rsidR="00A1622E" w:rsidRPr="00A1622E">
        <w:t xml:space="preserve">  </w:t>
      </w:r>
      <w:r w:rsidR="00332076">
        <w:t xml:space="preserve">  </w:t>
      </w:r>
      <w:r w:rsidR="00490DAA" w:rsidRPr="00A1622E">
        <w:t>(4) </w:t>
      </w:r>
      <w:r w:rsidR="00855202" w:rsidRPr="00A1622E">
        <w:t xml:space="preserve"> </w:t>
      </w:r>
      <w:r w:rsidR="00332076">
        <w:t xml:space="preserve"> </w:t>
      </w:r>
      <w:r w:rsidR="00490DAA" w:rsidRPr="00A1622E">
        <w:rPr>
          <w:b/>
        </w:rPr>
        <w:t>Concern</w:t>
      </w:r>
      <w:r w:rsidR="00490DAA" w:rsidRPr="00A1622E">
        <w:t xml:space="preserve"> for sound procedures, due process, and fairness—every member entitled.</w:t>
      </w:r>
    </w:p>
    <w:p w:rsidR="00490DAA" w:rsidRPr="00A1622E" w:rsidRDefault="00490DAA">
      <w:pPr>
        <w:pStyle w:val="BodyText2"/>
        <w:ind w:left="562" w:hanging="562"/>
      </w:pPr>
    </w:p>
    <w:p w:rsidR="00A1622E" w:rsidRPr="00A1622E" w:rsidRDefault="00C7779B">
      <w:pPr>
        <w:pStyle w:val="BodyText2"/>
        <w:ind w:left="562" w:hanging="562"/>
      </w:pPr>
      <w:r w:rsidRPr="00AD043A">
        <w:rPr>
          <w:sz w:val="22"/>
          <w:szCs w:val="22"/>
        </w:rPr>
        <w:sym w:font="Wingdings" w:char="F072"/>
      </w:r>
      <w:r w:rsidR="00490DAA" w:rsidRPr="00A1622E">
        <w:t>   </w:t>
      </w:r>
      <w:r w:rsidR="00A1622E" w:rsidRPr="00A1622E">
        <w:t xml:space="preserve">  </w:t>
      </w:r>
      <w:r w:rsidR="00332076">
        <w:t xml:space="preserve">  </w:t>
      </w:r>
      <w:r w:rsidR="00490DAA" w:rsidRPr="00A1622E">
        <w:t>(5) </w:t>
      </w:r>
      <w:r w:rsidR="00A1622E" w:rsidRPr="00A1622E">
        <w:t xml:space="preserve">  </w:t>
      </w:r>
      <w:r w:rsidR="00490DAA" w:rsidRPr="00A1622E">
        <w:rPr>
          <w:b/>
        </w:rPr>
        <w:t>Concern</w:t>
      </w:r>
      <w:r w:rsidR="00490DAA" w:rsidRPr="00A1622E">
        <w:t xml:space="preserve"> that the Board’s professional standards procedures are substantively in compliance with </w:t>
      </w:r>
    </w:p>
    <w:p w:rsidR="00332076" w:rsidRDefault="00332076" w:rsidP="00332076">
      <w:pPr>
        <w:pStyle w:val="BodyText2"/>
      </w:pPr>
      <w:r>
        <w:t xml:space="preserve">                  </w:t>
      </w:r>
      <w:r w:rsidR="00C17D1A">
        <w:t xml:space="preserve"> </w:t>
      </w:r>
      <w:r w:rsidR="00A1622E" w:rsidRPr="00A1622E">
        <w:t xml:space="preserve">National </w:t>
      </w:r>
      <w:r w:rsidR="00490DAA" w:rsidRPr="00A1622E">
        <w:t xml:space="preserve">Association and State Association procedures—ensures coverage of Errors and Omissions </w:t>
      </w:r>
      <w:r>
        <w:t xml:space="preserve">  </w:t>
      </w:r>
    </w:p>
    <w:p w:rsidR="00490DAA" w:rsidRPr="00A1622E" w:rsidRDefault="00332076" w:rsidP="00332076">
      <w:pPr>
        <w:pStyle w:val="BodyText2"/>
      </w:pPr>
      <w:r>
        <w:t xml:space="preserve">                 </w:t>
      </w:r>
      <w:r w:rsidR="00C17D1A">
        <w:t xml:space="preserve"> </w:t>
      </w:r>
      <w:r>
        <w:t xml:space="preserve"> </w:t>
      </w:r>
      <w:r w:rsidR="00490DAA" w:rsidRPr="00A1622E">
        <w:t>Insurance.</w:t>
      </w:r>
    </w:p>
    <w:p w:rsidR="00490DAA" w:rsidRPr="00A1622E" w:rsidRDefault="00490DAA">
      <w:pPr>
        <w:pStyle w:val="BodyText2"/>
        <w:ind w:left="562" w:hanging="562"/>
      </w:pPr>
    </w:p>
    <w:p w:rsidR="00A1622E" w:rsidRPr="00A1622E" w:rsidRDefault="00E316E4">
      <w:pPr>
        <w:pStyle w:val="BodyText2"/>
        <w:ind w:left="562"/>
      </w:pPr>
      <w:r w:rsidRPr="00A1622E">
        <w:tab/>
      </w:r>
      <w:r w:rsidR="00A1622E" w:rsidRPr="00A1622E">
        <w:t xml:space="preserve">    </w:t>
      </w:r>
      <w:r w:rsidR="00490DAA" w:rsidRPr="00A1622E">
        <w:t xml:space="preserve">(The National Association recommends adoption of the </w:t>
      </w:r>
      <w:r w:rsidR="00490DAA" w:rsidRPr="00AF39DA">
        <w:rPr>
          <w:i/>
        </w:rPr>
        <w:t>Code of Ethics and Arbitration Manual</w:t>
      </w:r>
      <w:r w:rsidR="00490DAA" w:rsidRPr="00A1622E">
        <w:t xml:space="preserve">, as </w:t>
      </w:r>
      <w:r w:rsidR="00A1622E" w:rsidRPr="00A1622E">
        <w:t xml:space="preserve">  </w:t>
      </w:r>
    </w:p>
    <w:p w:rsidR="00490DAA" w:rsidRPr="00A1622E" w:rsidRDefault="00A1622E">
      <w:pPr>
        <w:pStyle w:val="BodyText2"/>
        <w:ind w:left="562"/>
      </w:pPr>
      <w:r w:rsidRPr="00A1622E">
        <w:t xml:space="preserve">        </w:t>
      </w:r>
      <w:proofErr w:type="gramStart"/>
      <w:r w:rsidR="00490DAA" w:rsidRPr="00A1622E">
        <w:t>adapted</w:t>
      </w:r>
      <w:proofErr w:type="gramEnd"/>
      <w:r w:rsidR="00490DAA" w:rsidRPr="00A1622E">
        <w:t xml:space="preserve"> to comply with state law.)</w:t>
      </w:r>
    </w:p>
    <w:p w:rsidR="00490DAA" w:rsidRPr="00A1622E" w:rsidRDefault="00490DAA">
      <w:pPr>
        <w:pStyle w:val="BodyText2"/>
        <w:ind w:left="562" w:hanging="562"/>
      </w:pPr>
    </w:p>
    <w:p w:rsidR="00A1622E" w:rsidRPr="00A1622E" w:rsidRDefault="00C7779B" w:rsidP="00A1622E">
      <w:pPr>
        <w:pStyle w:val="BodyText2"/>
      </w:pPr>
      <w:r w:rsidRPr="00AD043A">
        <w:rPr>
          <w:sz w:val="22"/>
          <w:szCs w:val="22"/>
        </w:rPr>
        <w:sym w:font="Wingdings" w:char="F072"/>
      </w:r>
      <w:r w:rsidR="00490DAA" w:rsidRPr="00A1622E">
        <w:t>  </w:t>
      </w:r>
      <w:r w:rsidR="00A1622E" w:rsidRPr="00A1622E">
        <w:t xml:space="preserve">   </w:t>
      </w:r>
      <w:r w:rsidR="00332076">
        <w:t xml:space="preserve">  </w:t>
      </w:r>
      <w:r w:rsidR="00490DAA" w:rsidRPr="00A1622E">
        <w:t>(6) </w:t>
      </w:r>
      <w:r w:rsidR="00A1622E" w:rsidRPr="00A1622E">
        <w:t xml:space="preserve">  </w:t>
      </w:r>
      <w:r w:rsidR="00332076">
        <w:t xml:space="preserve"> </w:t>
      </w:r>
      <w:r w:rsidR="00490DAA" w:rsidRPr="00A1622E">
        <w:rPr>
          <w:b/>
        </w:rPr>
        <w:t>Concern</w:t>
      </w:r>
      <w:r w:rsidR="00490DAA" w:rsidRPr="00A1622E">
        <w:t xml:space="preserve"> for wise appointments to the Grievance Committee and Professional Standards Committee—</w:t>
      </w:r>
      <w:r w:rsidR="00E316E4" w:rsidRPr="00A1622E">
        <w:tab/>
      </w:r>
      <w:r w:rsidR="00A1622E" w:rsidRPr="00A1622E">
        <w:t xml:space="preserve">  </w:t>
      </w:r>
    </w:p>
    <w:p w:rsidR="00A1622E" w:rsidRPr="00A1622E" w:rsidRDefault="00A1622E" w:rsidP="00A1622E">
      <w:pPr>
        <w:pStyle w:val="BodyText2"/>
        <w:ind w:left="720"/>
      </w:pPr>
      <w:r w:rsidRPr="00A1622E">
        <w:t xml:space="preserve">   </w:t>
      </w:r>
      <w:r w:rsidR="00BB2111">
        <w:t xml:space="preserve"> </w:t>
      </w:r>
      <w:r w:rsidRPr="00A1622E">
        <w:t xml:space="preserve"> </w:t>
      </w:r>
      <w:proofErr w:type="gramStart"/>
      <w:r w:rsidR="00490DAA" w:rsidRPr="00A1622E">
        <w:t>mature</w:t>
      </w:r>
      <w:proofErr w:type="gramEnd"/>
      <w:r w:rsidR="00490DAA" w:rsidRPr="00A1622E">
        <w:t>, experienced, and knowledgeable individuals of judicious temperament.</w:t>
      </w:r>
    </w:p>
    <w:p w:rsidR="00A1622E" w:rsidRPr="00A1622E" w:rsidRDefault="00A1622E" w:rsidP="00A1622E">
      <w:pPr>
        <w:pStyle w:val="BodyText2"/>
        <w:ind w:left="720"/>
      </w:pPr>
    </w:p>
    <w:p w:rsidR="00490DAA" w:rsidRPr="00A1622E" w:rsidRDefault="00490DAA" w:rsidP="00A1622E">
      <w:pPr>
        <w:pStyle w:val="BodyText2"/>
        <w:numPr>
          <w:ilvl w:val="0"/>
          <w:numId w:val="21"/>
        </w:numPr>
      </w:pPr>
      <w:r w:rsidRPr="001D71CF">
        <w:rPr>
          <w:b/>
        </w:rPr>
        <w:t>President-Elect</w:t>
      </w:r>
      <w:r w:rsidRPr="00A1622E">
        <w:t>—start to consider potential appointees early.</w:t>
      </w:r>
    </w:p>
    <w:p w:rsidR="00A1622E" w:rsidRPr="00A1622E" w:rsidRDefault="00A1622E" w:rsidP="00A1622E">
      <w:pPr>
        <w:pStyle w:val="BodyText2"/>
        <w:ind w:left="1275"/>
      </w:pPr>
    </w:p>
    <w:p w:rsidR="00490DAA" w:rsidRPr="00A1622E" w:rsidRDefault="00490DAA" w:rsidP="00A1622E">
      <w:pPr>
        <w:pStyle w:val="BodyText2"/>
        <w:numPr>
          <w:ilvl w:val="0"/>
          <w:numId w:val="21"/>
        </w:numPr>
      </w:pPr>
      <w:r w:rsidRPr="00A1622E">
        <w:t xml:space="preserve">Select best possible </w:t>
      </w:r>
      <w:r w:rsidRPr="001D71CF">
        <w:rPr>
          <w:b/>
        </w:rPr>
        <w:t>Chairperson</w:t>
      </w:r>
      <w:r w:rsidRPr="00A1622E">
        <w:t>.</w:t>
      </w:r>
    </w:p>
    <w:p w:rsidR="00A1622E" w:rsidRPr="00A1622E" w:rsidRDefault="00A1622E" w:rsidP="00A1622E">
      <w:pPr>
        <w:pStyle w:val="BodyText2"/>
      </w:pPr>
    </w:p>
    <w:p w:rsidR="00490DAA" w:rsidRPr="00A1622E" w:rsidRDefault="00E316E4">
      <w:pPr>
        <w:pStyle w:val="BodyText2"/>
        <w:ind w:left="562"/>
      </w:pPr>
      <w:r w:rsidRPr="00A1622E">
        <w:tab/>
      </w:r>
      <w:r w:rsidR="00A1622E" w:rsidRPr="00A1622E">
        <w:t xml:space="preserve">    </w:t>
      </w:r>
      <w:r w:rsidR="00490DAA" w:rsidRPr="00A1622E">
        <w:t>(c) </w:t>
      </w:r>
      <w:r w:rsidR="001D71CF">
        <w:t xml:space="preserve"> </w:t>
      </w:r>
      <w:r w:rsidR="00490DAA" w:rsidRPr="00A1622E">
        <w:t xml:space="preserve">Select competent </w:t>
      </w:r>
      <w:r w:rsidR="00490DAA" w:rsidRPr="001D71CF">
        <w:rPr>
          <w:b/>
        </w:rPr>
        <w:t>Committee Members</w:t>
      </w:r>
      <w:r w:rsidR="00490DAA" w:rsidRPr="00A1622E">
        <w:t>.</w:t>
      </w:r>
    </w:p>
    <w:p w:rsidR="00490DAA" w:rsidRPr="00A1622E" w:rsidRDefault="00490DAA">
      <w:pPr>
        <w:pStyle w:val="BodyText2"/>
        <w:ind w:left="562"/>
      </w:pPr>
    </w:p>
    <w:p w:rsidR="00A1622E" w:rsidRPr="00A1622E" w:rsidRDefault="00C7779B">
      <w:pPr>
        <w:pStyle w:val="BodyText2"/>
        <w:ind w:left="562" w:hanging="562"/>
      </w:pPr>
      <w:r w:rsidRPr="00AD043A">
        <w:rPr>
          <w:sz w:val="22"/>
          <w:szCs w:val="22"/>
        </w:rPr>
        <w:sym w:font="Wingdings" w:char="F072"/>
      </w:r>
      <w:r w:rsidR="00490DAA" w:rsidRPr="00A1622E">
        <w:t>  </w:t>
      </w:r>
      <w:r w:rsidR="00A1622E" w:rsidRPr="00A1622E">
        <w:t xml:space="preserve">   </w:t>
      </w:r>
      <w:r w:rsidR="00332076">
        <w:t xml:space="preserve">  </w:t>
      </w:r>
      <w:r w:rsidR="00490DAA" w:rsidRPr="00A1622E">
        <w:t>(7) </w:t>
      </w:r>
      <w:r w:rsidR="00A1622E" w:rsidRPr="00A1622E">
        <w:t xml:space="preserve">  </w:t>
      </w:r>
      <w:r w:rsidR="00332076">
        <w:t xml:space="preserve"> </w:t>
      </w:r>
      <w:r w:rsidR="00490DAA" w:rsidRPr="00A1622E">
        <w:rPr>
          <w:b/>
        </w:rPr>
        <w:t>Concern</w:t>
      </w:r>
      <w:r w:rsidR="00490DAA" w:rsidRPr="00A1622E">
        <w:t xml:space="preserve"> for Leadership Involvement—President’s personal commitment to Code awareness training </w:t>
      </w:r>
      <w:r w:rsidR="00E316E4" w:rsidRPr="00A1622E">
        <w:tab/>
      </w:r>
    </w:p>
    <w:p w:rsidR="00490DAA" w:rsidRPr="00A1622E" w:rsidRDefault="00A1622E" w:rsidP="00A1622E">
      <w:pPr>
        <w:pStyle w:val="BodyText2"/>
        <w:ind w:left="562" w:firstLine="158"/>
      </w:pPr>
      <w:r w:rsidRPr="00A1622E">
        <w:t xml:space="preserve">    </w:t>
      </w:r>
      <w:r w:rsidR="00BB2111">
        <w:t xml:space="preserve"> </w:t>
      </w:r>
      <w:r w:rsidR="00C17D1A">
        <w:t xml:space="preserve"> </w:t>
      </w:r>
      <w:proofErr w:type="gramStart"/>
      <w:r w:rsidR="00490DAA" w:rsidRPr="00A1622E">
        <w:t>programs</w:t>
      </w:r>
      <w:proofErr w:type="gramEnd"/>
      <w:r w:rsidR="00490DAA" w:rsidRPr="00A1622E">
        <w:t xml:space="preserve"> and proper Code enforcement.</w:t>
      </w:r>
    </w:p>
    <w:p w:rsidR="00490DAA" w:rsidRPr="00A1622E" w:rsidRDefault="00490DAA">
      <w:pPr>
        <w:pStyle w:val="BodyText2"/>
        <w:ind w:left="562" w:hanging="562"/>
      </w:pPr>
    </w:p>
    <w:p w:rsidR="00490DAA" w:rsidRPr="00A1622E" w:rsidRDefault="00C7779B">
      <w:pPr>
        <w:pStyle w:val="BodyText2"/>
        <w:ind w:left="562" w:hanging="562"/>
      </w:pPr>
      <w:r w:rsidRPr="00AD043A">
        <w:rPr>
          <w:sz w:val="22"/>
          <w:szCs w:val="22"/>
        </w:rPr>
        <w:sym w:font="Wingdings" w:char="F072"/>
      </w:r>
      <w:r w:rsidR="00490DAA" w:rsidRPr="00AD043A">
        <w:rPr>
          <w:sz w:val="22"/>
          <w:szCs w:val="22"/>
        </w:rPr>
        <w:t> </w:t>
      </w:r>
      <w:r w:rsidR="00A1622E" w:rsidRPr="00A1622E">
        <w:t xml:space="preserve">  </w:t>
      </w:r>
      <w:r w:rsidR="00490DAA" w:rsidRPr="00A1622E">
        <w:t> </w:t>
      </w:r>
      <w:r w:rsidR="00A1622E" w:rsidRPr="00A1622E">
        <w:t xml:space="preserve"> </w:t>
      </w:r>
      <w:r w:rsidR="00332076">
        <w:t xml:space="preserve">  </w:t>
      </w:r>
      <w:r w:rsidR="00490DAA" w:rsidRPr="00A1622E">
        <w:t>(8) </w:t>
      </w:r>
      <w:r w:rsidR="00A1622E" w:rsidRPr="00A1622E">
        <w:t xml:space="preserve">  </w:t>
      </w:r>
      <w:r w:rsidR="00332076">
        <w:t xml:space="preserve"> </w:t>
      </w:r>
      <w:r w:rsidR="00490DAA" w:rsidRPr="00A1622E">
        <w:rPr>
          <w:b/>
        </w:rPr>
        <w:t>Concern</w:t>
      </w:r>
      <w:r w:rsidR="00490DAA" w:rsidRPr="00A1622E">
        <w:t xml:space="preserve"> for accountability of Grievance Committee and Professional Standards Committee Members.</w:t>
      </w:r>
    </w:p>
    <w:p w:rsidR="00490DAA" w:rsidRPr="00A1622E" w:rsidRDefault="00490DAA">
      <w:pPr>
        <w:pStyle w:val="BodyText2"/>
        <w:ind w:left="562" w:hanging="562"/>
      </w:pPr>
    </w:p>
    <w:p w:rsidR="00490DAA" w:rsidRPr="00A1622E" w:rsidRDefault="00C7779B">
      <w:pPr>
        <w:pStyle w:val="BodyText2"/>
        <w:ind w:left="562" w:hanging="562"/>
      </w:pPr>
      <w:r w:rsidRPr="00AD043A">
        <w:rPr>
          <w:sz w:val="22"/>
          <w:szCs w:val="22"/>
        </w:rPr>
        <w:sym w:font="Wingdings" w:char="F072"/>
      </w:r>
      <w:r w:rsidR="00490DAA" w:rsidRPr="00AD043A">
        <w:rPr>
          <w:sz w:val="22"/>
          <w:szCs w:val="22"/>
        </w:rPr>
        <w:t xml:space="preserve"> </w:t>
      </w:r>
      <w:r w:rsidR="00A1622E" w:rsidRPr="00A1622E">
        <w:t xml:space="preserve">    </w:t>
      </w:r>
      <w:r w:rsidR="00332076">
        <w:t xml:space="preserve">  </w:t>
      </w:r>
      <w:r w:rsidR="00490DAA" w:rsidRPr="00A1622E">
        <w:t>(9) </w:t>
      </w:r>
      <w:r w:rsidR="00A1622E" w:rsidRPr="00A1622E">
        <w:t xml:space="preserve">  </w:t>
      </w:r>
      <w:r w:rsidR="00332076">
        <w:t xml:space="preserve"> </w:t>
      </w:r>
      <w:r w:rsidR="00490DAA" w:rsidRPr="00A1622E">
        <w:rPr>
          <w:b/>
        </w:rPr>
        <w:t>Concern</w:t>
      </w:r>
      <w:r w:rsidR="00490DAA" w:rsidRPr="00A1622E">
        <w:t xml:space="preserve"> for distinguishing between “ethics” and “arbitration” cases.</w:t>
      </w:r>
    </w:p>
    <w:p w:rsidR="00490DAA" w:rsidRPr="00A1622E" w:rsidRDefault="00490DAA">
      <w:pPr>
        <w:pStyle w:val="BodyText2"/>
        <w:ind w:left="562" w:hanging="562"/>
      </w:pPr>
    </w:p>
    <w:p w:rsidR="00490DAA" w:rsidRPr="00A1622E" w:rsidRDefault="00C7779B">
      <w:pPr>
        <w:pStyle w:val="BodyText2"/>
        <w:ind w:left="562" w:hanging="562"/>
      </w:pPr>
      <w:r w:rsidRPr="00AD043A">
        <w:rPr>
          <w:sz w:val="22"/>
          <w:szCs w:val="22"/>
        </w:rPr>
        <w:sym w:font="Wingdings" w:char="F072"/>
      </w:r>
      <w:r w:rsidR="00A1622E" w:rsidRPr="00AD043A">
        <w:rPr>
          <w:sz w:val="22"/>
          <w:szCs w:val="22"/>
        </w:rPr>
        <w:t xml:space="preserve">  </w:t>
      </w:r>
      <w:r w:rsidR="00A1622E" w:rsidRPr="00A1622E">
        <w:t xml:space="preserve"> </w:t>
      </w:r>
      <w:r w:rsidR="00332076">
        <w:t xml:space="preserve">  </w:t>
      </w:r>
      <w:r w:rsidR="00490DAA" w:rsidRPr="00A1622E">
        <w:t>(10) </w:t>
      </w:r>
      <w:r w:rsidR="00855202" w:rsidRPr="00A1622E">
        <w:t xml:space="preserve"> </w:t>
      </w:r>
      <w:r w:rsidR="00332076">
        <w:t xml:space="preserve"> </w:t>
      </w:r>
      <w:r w:rsidR="00C17D1A">
        <w:t xml:space="preserve"> </w:t>
      </w:r>
      <w:r w:rsidR="00490DAA" w:rsidRPr="00A1622E">
        <w:rPr>
          <w:b/>
        </w:rPr>
        <w:t>Concern</w:t>
      </w:r>
      <w:r w:rsidR="00490DAA" w:rsidRPr="00A1622E">
        <w:t xml:space="preserve"> that ethics hearings serve their purposes—education of members and vindication of the Code.</w:t>
      </w:r>
    </w:p>
    <w:p w:rsidR="00490DAA" w:rsidRPr="00A1622E" w:rsidRDefault="00490DAA">
      <w:pPr>
        <w:pStyle w:val="BodyText2"/>
        <w:ind w:left="562" w:hanging="562"/>
      </w:pPr>
    </w:p>
    <w:p w:rsidR="00490DAA" w:rsidRPr="00A1622E" w:rsidRDefault="00C7779B">
      <w:pPr>
        <w:pStyle w:val="BodyText2"/>
        <w:ind w:left="562" w:hanging="562"/>
      </w:pPr>
      <w:r w:rsidRPr="00AD043A">
        <w:rPr>
          <w:sz w:val="22"/>
          <w:szCs w:val="22"/>
        </w:rPr>
        <w:sym w:font="Wingdings" w:char="F072"/>
      </w:r>
      <w:r w:rsidR="00A1622E" w:rsidRPr="00A1622E">
        <w:t xml:space="preserve"> </w:t>
      </w:r>
      <w:r w:rsidR="00332076">
        <w:t xml:space="preserve">    </w:t>
      </w:r>
      <w:r w:rsidR="00490DAA" w:rsidRPr="00A1622E">
        <w:t>(11) </w:t>
      </w:r>
      <w:r w:rsidR="00A1622E" w:rsidRPr="00A1622E">
        <w:t xml:space="preserve">  </w:t>
      </w:r>
      <w:r w:rsidR="00C17D1A">
        <w:t xml:space="preserve"> </w:t>
      </w:r>
      <w:r w:rsidR="00490DAA" w:rsidRPr="00A1622E">
        <w:rPr>
          <w:b/>
        </w:rPr>
        <w:t>Concern</w:t>
      </w:r>
      <w:r w:rsidR="00490DAA" w:rsidRPr="00A1622E">
        <w:t xml:space="preserve"> that arbitration be limited to “properly arbitrable matters.”</w:t>
      </w:r>
    </w:p>
    <w:p w:rsidR="00490DAA" w:rsidRPr="00A1622E" w:rsidRDefault="00490DAA">
      <w:pPr>
        <w:pStyle w:val="BodyText2"/>
        <w:ind w:left="562" w:hanging="562"/>
      </w:pPr>
    </w:p>
    <w:p w:rsidR="00A1622E" w:rsidRPr="00A1622E" w:rsidRDefault="00C7779B">
      <w:pPr>
        <w:pStyle w:val="BodyText2"/>
        <w:ind w:left="562" w:hanging="562"/>
      </w:pPr>
      <w:r w:rsidRPr="00AD043A">
        <w:rPr>
          <w:sz w:val="22"/>
          <w:szCs w:val="22"/>
        </w:rPr>
        <w:sym w:font="Wingdings" w:char="F072"/>
      </w:r>
      <w:r w:rsidR="00332076" w:rsidRPr="00AD043A">
        <w:rPr>
          <w:sz w:val="22"/>
          <w:szCs w:val="22"/>
        </w:rPr>
        <w:t xml:space="preserve"> </w:t>
      </w:r>
      <w:r w:rsidR="00332076">
        <w:t xml:space="preserve">    </w:t>
      </w:r>
      <w:r w:rsidR="00490DAA" w:rsidRPr="00A1622E">
        <w:t>(12) </w:t>
      </w:r>
      <w:r w:rsidR="00A1622E" w:rsidRPr="00A1622E">
        <w:t xml:space="preserve">  </w:t>
      </w:r>
      <w:r w:rsidR="00C17D1A">
        <w:t xml:space="preserve"> </w:t>
      </w:r>
      <w:r w:rsidR="00490DAA" w:rsidRPr="00A1622E">
        <w:rPr>
          <w:b/>
        </w:rPr>
        <w:t>Concern</w:t>
      </w:r>
      <w:r w:rsidR="00490DAA" w:rsidRPr="00A1622E">
        <w:t xml:space="preserve"> that the Grievance Committee does not exceed its function of making preliminary reviews to </w:t>
      </w:r>
      <w:r w:rsidR="00E316E4" w:rsidRPr="00A1622E">
        <w:tab/>
      </w:r>
    </w:p>
    <w:p w:rsidR="00490DAA" w:rsidRPr="00A1622E" w:rsidRDefault="00332076">
      <w:pPr>
        <w:pStyle w:val="BodyText2"/>
        <w:ind w:left="562" w:hanging="562"/>
      </w:pPr>
      <w:r>
        <w:t xml:space="preserve">                 </w:t>
      </w:r>
      <w:r w:rsidR="00BB2111">
        <w:t xml:space="preserve"> </w:t>
      </w:r>
      <w:r w:rsidR="00C17D1A">
        <w:t xml:space="preserve">  </w:t>
      </w:r>
      <w:proofErr w:type="gramStart"/>
      <w:r w:rsidR="00490DAA" w:rsidRPr="00A1622E">
        <w:t>determine</w:t>
      </w:r>
      <w:proofErr w:type="gramEnd"/>
      <w:r w:rsidR="00490DAA" w:rsidRPr="00A1622E">
        <w:t xml:space="preserve"> proper disposition of ethics complaints and requests for arbitration.</w:t>
      </w:r>
    </w:p>
    <w:p w:rsidR="00490DAA" w:rsidRPr="00A1622E" w:rsidRDefault="00490DAA">
      <w:pPr>
        <w:pStyle w:val="BodyText2"/>
        <w:ind w:left="562" w:hanging="562"/>
      </w:pPr>
    </w:p>
    <w:p w:rsidR="00A1622E" w:rsidRPr="00A1622E" w:rsidRDefault="00C7779B">
      <w:pPr>
        <w:pStyle w:val="BodyText2"/>
        <w:ind w:left="562" w:hanging="562"/>
      </w:pPr>
      <w:r w:rsidRPr="00AD043A">
        <w:rPr>
          <w:sz w:val="22"/>
          <w:szCs w:val="22"/>
        </w:rPr>
        <w:sym w:font="Wingdings" w:char="F072"/>
      </w:r>
      <w:r w:rsidR="00332076" w:rsidRPr="00AD043A">
        <w:rPr>
          <w:sz w:val="22"/>
          <w:szCs w:val="22"/>
        </w:rPr>
        <w:t xml:space="preserve">  </w:t>
      </w:r>
      <w:r w:rsidR="00332076">
        <w:t xml:space="preserve">   </w:t>
      </w:r>
      <w:r w:rsidR="00490DAA" w:rsidRPr="00A1622E">
        <w:t>(13) </w:t>
      </w:r>
      <w:r w:rsidR="00A1622E" w:rsidRPr="00A1622E">
        <w:t xml:space="preserve"> </w:t>
      </w:r>
      <w:r w:rsidR="00A1622E" w:rsidRPr="00A1622E">
        <w:rPr>
          <w:b/>
        </w:rPr>
        <w:t xml:space="preserve"> </w:t>
      </w:r>
      <w:r w:rsidR="00490DAA" w:rsidRPr="00A1622E">
        <w:rPr>
          <w:b/>
        </w:rPr>
        <w:t>Concern</w:t>
      </w:r>
      <w:r w:rsidR="00490DAA" w:rsidRPr="00A1622E">
        <w:t xml:space="preserve"> that Board Officers and staff not be given or assume responsibility beyond their proper role in </w:t>
      </w:r>
      <w:r w:rsidR="00E316E4" w:rsidRPr="00A1622E">
        <w:tab/>
      </w:r>
      <w:r w:rsidR="00A1622E" w:rsidRPr="00A1622E">
        <w:t xml:space="preserve">  </w:t>
      </w:r>
    </w:p>
    <w:p w:rsidR="00490DAA" w:rsidRPr="00A1622E" w:rsidRDefault="00332076" w:rsidP="00A1622E">
      <w:pPr>
        <w:pStyle w:val="BodyText2"/>
      </w:pPr>
      <w:r>
        <w:t xml:space="preserve">                 </w:t>
      </w:r>
      <w:r w:rsidR="00BB2111">
        <w:t xml:space="preserve"> </w:t>
      </w:r>
      <w:r>
        <w:t xml:space="preserve"> </w:t>
      </w:r>
      <w:r w:rsidR="00C17D1A">
        <w:t xml:space="preserve"> </w:t>
      </w:r>
      <w:proofErr w:type="gramStart"/>
      <w:r w:rsidR="00490DAA" w:rsidRPr="00A1622E">
        <w:t>professional</w:t>
      </w:r>
      <w:proofErr w:type="gramEnd"/>
      <w:r w:rsidR="00490DAA" w:rsidRPr="00A1622E">
        <w:t xml:space="preserve"> standards matters.</w:t>
      </w:r>
    </w:p>
    <w:p w:rsidR="00490DAA" w:rsidRDefault="00490DAA">
      <w:pPr>
        <w:pStyle w:val="BodyText2"/>
        <w:ind w:left="562" w:hanging="562"/>
      </w:pPr>
    </w:p>
    <w:p w:rsidR="00490DAA" w:rsidRPr="00332076" w:rsidRDefault="00C7779B">
      <w:pPr>
        <w:pStyle w:val="BodyText2"/>
        <w:ind w:left="562" w:hanging="562"/>
      </w:pPr>
      <w:r w:rsidRPr="00AD043A">
        <w:rPr>
          <w:sz w:val="22"/>
          <w:szCs w:val="22"/>
        </w:rPr>
        <w:sym w:font="Wingdings" w:char="F072"/>
      </w:r>
      <w:r w:rsidR="00332076" w:rsidRPr="00AD043A">
        <w:rPr>
          <w:sz w:val="22"/>
          <w:szCs w:val="22"/>
        </w:rPr>
        <w:t xml:space="preserve"> </w:t>
      </w:r>
      <w:r w:rsidR="00332076">
        <w:t xml:space="preserve">    </w:t>
      </w:r>
      <w:r w:rsidR="00490DAA" w:rsidRPr="00332076">
        <w:t>(14) </w:t>
      </w:r>
      <w:r w:rsidR="00332076">
        <w:t xml:space="preserve">  </w:t>
      </w:r>
      <w:r w:rsidR="00490DAA" w:rsidRPr="00332076">
        <w:rPr>
          <w:b/>
        </w:rPr>
        <w:t>Concern</w:t>
      </w:r>
      <w:r w:rsidR="00490DAA" w:rsidRPr="00332076">
        <w:t xml:space="preserve"> that ethics and arbitration matters be heard separately—arbitration first, then ethics.</w:t>
      </w:r>
    </w:p>
    <w:p w:rsidR="00490DAA" w:rsidRPr="00332076" w:rsidRDefault="00490DAA">
      <w:pPr>
        <w:pStyle w:val="BodyText2"/>
        <w:ind w:left="562" w:hanging="562"/>
      </w:pPr>
    </w:p>
    <w:p w:rsidR="00332076" w:rsidRDefault="00C7779B" w:rsidP="00332076">
      <w:pPr>
        <w:pStyle w:val="BodyText2"/>
        <w:ind w:left="562" w:hanging="562"/>
      </w:pPr>
      <w:r w:rsidRPr="00AD043A">
        <w:rPr>
          <w:sz w:val="22"/>
          <w:szCs w:val="22"/>
        </w:rPr>
        <w:sym w:font="Wingdings" w:char="F072"/>
      </w:r>
      <w:r w:rsidR="00332076">
        <w:t xml:space="preserve">     </w:t>
      </w:r>
      <w:r w:rsidR="00490DAA" w:rsidRPr="00332076">
        <w:t>(15)</w:t>
      </w:r>
      <w:r w:rsidR="00332076">
        <w:t xml:space="preserve"> </w:t>
      </w:r>
      <w:r w:rsidR="00490DAA" w:rsidRPr="00332076">
        <w:t> </w:t>
      </w:r>
      <w:r w:rsidR="00332076">
        <w:t xml:space="preserve"> </w:t>
      </w:r>
      <w:r w:rsidR="00490DAA" w:rsidRPr="00332076">
        <w:rPr>
          <w:b/>
        </w:rPr>
        <w:t>Concern</w:t>
      </w:r>
      <w:r w:rsidR="00490DAA" w:rsidRPr="00332076">
        <w:t xml:space="preserve"> that the Board has access to legal counsel and that counsel’s involvement in professional </w:t>
      </w:r>
      <w:r w:rsidR="00332076">
        <w:t xml:space="preserve">  </w:t>
      </w:r>
    </w:p>
    <w:p w:rsidR="00490DAA" w:rsidRPr="00332076" w:rsidRDefault="00332076" w:rsidP="00332076">
      <w:pPr>
        <w:pStyle w:val="BodyText2"/>
        <w:ind w:left="562" w:hanging="562"/>
      </w:pPr>
      <w:r>
        <w:t xml:space="preserve"> </w:t>
      </w:r>
      <w:r>
        <w:tab/>
      </w:r>
      <w:r>
        <w:tab/>
        <w:t xml:space="preserve">    </w:t>
      </w:r>
      <w:r w:rsidR="00C17D1A">
        <w:t xml:space="preserve"> </w:t>
      </w:r>
      <w:proofErr w:type="gramStart"/>
      <w:r>
        <w:t>s</w:t>
      </w:r>
      <w:r w:rsidR="00490DAA" w:rsidRPr="00332076">
        <w:t>tandards</w:t>
      </w:r>
      <w:proofErr w:type="gramEnd"/>
      <w:r w:rsidR="00490DAA" w:rsidRPr="00332076">
        <w:t xml:space="preserve"> proceedings or in reviewing professional standards decisions is routine.</w:t>
      </w:r>
    </w:p>
    <w:p w:rsidR="008E47C8" w:rsidRPr="008E47C8" w:rsidRDefault="008E47C8">
      <w:pPr>
        <w:pStyle w:val="BodyText2"/>
        <w:ind w:left="562" w:hanging="562"/>
        <w:rPr>
          <w:sz w:val="8"/>
          <w:szCs w:val="8"/>
        </w:rPr>
      </w:pPr>
    </w:p>
    <w:p w:rsidR="00E534EE" w:rsidRDefault="00C7779B">
      <w:pPr>
        <w:pStyle w:val="BodyText2"/>
        <w:ind w:left="562" w:hanging="562"/>
      </w:pPr>
      <w:r w:rsidRPr="00AD043A">
        <w:rPr>
          <w:sz w:val="22"/>
          <w:szCs w:val="22"/>
        </w:rPr>
        <w:sym w:font="Wingdings" w:char="F072"/>
      </w:r>
      <w:r w:rsidR="00E534EE" w:rsidRPr="00AD043A">
        <w:rPr>
          <w:sz w:val="22"/>
          <w:szCs w:val="22"/>
        </w:rPr>
        <w:t xml:space="preserve">  </w:t>
      </w:r>
      <w:r w:rsidR="00E534EE">
        <w:t xml:space="preserve">   </w:t>
      </w:r>
      <w:r w:rsidR="00490DAA" w:rsidRPr="00332076">
        <w:t>(16) </w:t>
      </w:r>
      <w:r w:rsidR="00E534EE">
        <w:t xml:space="preserve"> </w:t>
      </w:r>
      <w:r w:rsidR="00490DAA" w:rsidRPr="00E534EE">
        <w:rPr>
          <w:b/>
        </w:rPr>
        <w:t>Concern</w:t>
      </w:r>
      <w:r w:rsidR="00490DAA" w:rsidRPr="00332076">
        <w:t xml:space="preserve"> that the public is provided adequate information and assistance to fully understand what the </w:t>
      </w:r>
      <w:r w:rsidR="00E534EE">
        <w:t xml:space="preserve"> </w:t>
      </w:r>
    </w:p>
    <w:p w:rsidR="00490DAA" w:rsidRPr="00332076" w:rsidRDefault="00E534EE">
      <w:pPr>
        <w:pStyle w:val="BodyText2"/>
        <w:ind w:left="562" w:hanging="562"/>
      </w:pPr>
      <w:r>
        <w:t xml:space="preserve">       </w:t>
      </w:r>
      <w:r>
        <w:tab/>
      </w:r>
      <w:r>
        <w:tab/>
        <w:t xml:space="preserve">   </w:t>
      </w:r>
      <w:r w:rsidR="007E78A9">
        <w:t xml:space="preserve"> </w:t>
      </w:r>
      <w:r w:rsidR="00490DAA" w:rsidRPr="00332076">
        <w:t>Board can do and does do, and what the Board cannot do.</w:t>
      </w:r>
    </w:p>
    <w:p w:rsidR="00490DAA" w:rsidRPr="00332076" w:rsidRDefault="00A1622E" w:rsidP="00A1622E">
      <w:pPr>
        <w:pStyle w:val="BodyText2"/>
        <w:tabs>
          <w:tab w:val="left" w:pos="5640"/>
        </w:tabs>
        <w:ind w:left="562" w:hanging="562"/>
      </w:pPr>
      <w:r w:rsidRPr="00332076">
        <w:tab/>
      </w:r>
      <w:r w:rsidRPr="00332076">
        <w:tab/>
      </w:r>
    </w:p>
    <w:p w:rsidR="00E534EE" w:rsidRDefault="00C7779B" w:rsidP="00E534EE">
      <w:pPr>
        <w:pStyle w:val="BodyText2"/>
        <w:ind w:left="562" w:hanging="562"/>
      </w:pPr>
      <w:r w:rsidRPr="00AD043A">
        <w:rPr>
          <w:sz w:val="22"/>
          <w:szCs w:val="22"/>
        </w:rPr>
        <w:sym w:font="Wingdings" w:char="F072"/>
      </w:r>
      <w:r w:rsidR="00E534EE">
        <w:t xml:space="preserve">     </w:t>
      </w:r>
      <w:r w:rsidR="00490DAA" w:rsidRPr="00332076">
        <w:t>(17) </w:t>
      </w:r>
      <w:r w:rsidR="00E534EE">
        <w:t xml:space="preserve"> </w:t>
      </w:r>
      <w:r w:rsidR="00490DAA" w:rsidRPr="00E534EE">
        <w:rPr>
          <w:b/>
        </w:rPr>
        <w:t>Concern</w:t>
      </w:r>
      <w:r w:rsidR="00490DAA" w:rsidRPr="00332076">
        <w:t xml:space="preserve"> that Board hearings are conducted in strict accordance with the professional standards </w:t>
      </w:r>
    </w:p>
    <w:p w:rsidR="00490DAA" w:rsidRPr="00332076" w:rsidRDefault="00E534EE" w:rsidP="00E534EE">
      <w:pPr>
        <w:pStyle w:val="BodyText2"/>
      </w:pPr>
      <w:r>
        <w:t xml:space="preserve">                 </w:t>
      </w:r>
      <w:r w:rsidR="007E78A9">
        <w:t xml:space="preserve"> </w:t>
      </w:r>
      <w:proofErr w:type="gramStart"/>
      <w:r w:rsidR="00490DAA" w:rsidRPr="00332076">
        <w:t>procedures</w:t>
      </w:r>
      <w:proofErr w:type="gramEnd"/>
      <w:r w:rsidR="00490DAA" w:rsidRPr="00332076">
        <w:t xml:space="preserve"> of the Board’s bylaws.</w:t>
      </w:r>
    </w:p>
    <w:p w:rsidR="002105E1" w:rsidRPr="00332076" w:rsidRDefault="002105E1">
      <w:pPr>
        <w:pStyle w:val="BodyText2"/>
        <w:ind w:left="562" w:hanging="562"/>
      </w:pPr>
    </w:p>
    <w:p w:rsidR="007E78A9" w:rsidRDefault="00C7779B">
      <w:pPr>
        <w:pStyle w:val="BodyText2"/>
        <w:ind w:left="562" w:hanging="562"/>
      </w:pPr>
      <w:r w:rsidRPr="00AD043A">
        <w:rPr>
          <w:sz w:val="22"/>
          <w:szCs w:val="22"/>
        </w:rPr>
        <w:sym w:font="Wingdings" w:char="F072"/>
      </w:r>
      <w:r w:rsidR="00E534EE">
        <w:t xml:space="preserve">     </w:t>
      </w:r>
      <w:r w:rsidR="00490DAA" w:rsidRPr="00332076">
        <w:t>(18)</w:t>
      </w:r>
      <w:r w:rsidR="00E534EE">
        <w:t xml:space="preserve">  </w:t>
      </w:r>
      <w:r w:rsidR="007E78A9">
        <w:t xml:space="preserve"> </w:t>
      </w:r>
      <w:r w:rsidR="00490DAA" w:rsidRPr="00E534EE">
        <w:rPr>
          <w:b/>
        </w:rPr>
        <w:t>Concern</w:t>
      </w:r>
      <w:r w:rsidR="00490DAA" w:rsidRPr="00332076">
        <w:t xml:space="preserve"> that professional standards procedures and proceedings are unbiased and conducted without </w:t>
      </w:r>
      <w:r w:rsidR="007E78A9">
        <w:t xml:space="preserve"> </w:t>
      </w:r>
    </w:p>
    <w:p w:rsidR="00490DAA" w:rsidRPr="00332076" w:rsidRDefault="007E78A9" w:rsidP="007E78A9">
      <w:pPr>
        <w:pStyle w:val="BodyText2"/>
        <w:ind w:left="562" w:hanging="562"/>
      </w:pPr>
      <w:r>
        <w:t xml:space="preserve">                   </w:t>
      </w:r>
      <w:proofErr w:type="gramStart"/>
      <w:r w:rsidR="00490DAA" w:rsidRPr="00332076">
        <w:t>fear</w:t>
      </w:r>
      <w:proofErr w:type="gramEnd"/>
      <w:r w:rsidR="00490DAA" w:rsidRPr="00332076">
        <w:t xml:space="preserve"> or favor— </w:t>
      </w:r>
      <w:r w:rsidR="00490DAA" w:rsidRPr="009364B5">
        <w:rPr>
          <w:b/>
        </w:rPr>
        <w:t>ensure impartiality</w:t>
      </w:r>
      <w:r w:rsidR="00490DAA" w:rsidRPr="00332076">
        <w:t>.</w:t>
      </w:r>
    </w:p>
    <w:p w:rsidR="00490DAA" w:rsidRPr="00AD043A" w:rsidRDefault="00490DAA">
      <w:pPr>
        <w:pStyle w:val="BodyText2"/>
        <w:ind w:left="562" w:hanging="562"/>
        <w:rPr>
          <w:sz w:val="22"/>
          <w:szCs w:val="22"/>
        </w:rPr>
      </w:pPr>
    </w:p>
    <w:p w:rsidR="00490DAA" w:rsidRPr="00332076" w:rsidRDefault="00C7779B">
      <w:pPr>
        <w:pStyle w:val="BodyText2"/>
        <w:ind w:left="562" w:hanging="562"/>
      </w:pPr>
      <w:r w:rsidRPr="00AD043A">
        <w:rPr>
          <w:sz w:val="22"/>
          <w:szCs w:val="22"/>
        </w:rPr>
        <w:sym w:font="Wingdings" w:char="F072"/>
      </w:r>
      <w:r w:rsidR="00E534EE">
        <w:t xml:space="preserve">     </w:t>
      </w:r>
      <w:r w:rsidR="00490DAA" w:rsidRPr="00332076">
        <w:t>(19) </w:t>
      </w:r>
      <w:r w:rsidR="00E534EE">
        <w:t xml:space="preserve"> </w:t>
      </w:r>
      <w:r w:rsidR="00490DAA" w:rsidRPr="00E534EE">
        <w:rPr>
          <w:b/>
        </w:rPr>
        <w:t>Concern</w:t>
      </w:r>
      <w:r w:rsidR="00490DAA" w:rsidRPr="00332076">
        <w:t xml:space="preserve"> that the parties are aware that an appeal remedy is always available in ethics matters.</w:t>
      </w:r>
    </w:p>
    <w:p w:rsidR="00490DAA" w:rsidRPr="00332076" w:rsidRDefault="00490DAA">
      <w:pPr>
        <w:pStyle w:val="BodyText2"/>
        <w:ind w:left="562" w:hanging="562"/>
      </w:pPr>
    </w:p>
    <w:p w:rsidR="00490DAA" w:rsidRPr="00332076" w:rsidRDefault="00C7779B">
      <w:pPr>
        <w:pStyle w:val="BodyText2"/>
        <w:ind w:left="562" w:hanging="562"/>
      </w:pPr>
      <w:r w:rsidRPr="00AD043A">
        <w:rPr>
          <w:sz w:val="22"/>
          <w:szCs w:val="22"/>
        </w:rPr>
        <w:sym w:font="Wingdings" w:char="F072"/>
      </w:r>
      <w:r w:rsidR="00E534EE">
        <w:t xml:space="preserve">     </w:t>
      </w:r>
      <w:r w:rsidR="00490DAA" w:rsidRPr="00332076">
        <w:t>(20) </w:t>
      </w:r>
      <w:r w:rsidR="00E534EE">
        <w:t xml:space="preserve"> </w:t>
      </w:r>
      <w:r w:rsidR="00490DAA" w:rsidRPr="00E534EE">
        <w:rPr>
          <w:b/>
        </w:rPr>
        <w:t>Concern</w:t>
      </w:r>
      <w:r w:rsidR="00490DAA" w:rsidRPr="00332076">
        <w:t xml:space="preserve"> that the Board of Directors understands its role in professional standards matters.</w:t>
      </w:r>
    </w:p>
    <w:p w:rsidR="00490DAA" w:rsidRDefault="000E0B4F">
      <w:pPr>
        <w:pStyle w:val="BodyText2"/>
        <w:ind w:left="836" w:hanging="274"/>
      </w:pPr>
      <w:r w:rsidRPr="00332076">
        <w:tab/>
      </w:r>
      <w:r w:rsidR="00490DAA" w:rsidRPr="00332076">
        <w:t>(a) Ethics—appeal.</w:t>
      </w:r>
    </w:p>
    <w:p w:rsidR="00E534EE" w:rsidRPr="00332076" w:rsidRDefault="00E534EE" w:rsidP="00E534EE">
      <w:pPr>
        <w:pStyle w:val="BodyText2"/>
      </w:pPr>
    </w:p>
    <w:p w:rsidR="00E534EE" w:rsidRDefault="00490DAA" w:rsidP="00E534EE">
      <w:pPr>
        <w:pStyle w:val="BodyText2"/>
        <w:ind w:left="847"/>
      </w:pPr>
      <w:r w:rsidRPr="00332076">
        <w:t xml:space="preserve">(b) Arbitration—no review or appeal, except in respect to alleged procedural irregularities resulting in </w:t>
      </w:r>
    </w:p>
    <w:p w:rsidR="00490DAA" w:rsidRPr="00332076" w:rsidRDefault="009364B5" w:rsidP="00E534EE">
      <w:pPr>
        <w:pStyle w:val="BodyText2"/>
        <w:ind w:left="847"/>
      </w:pPr>
      <w:r>
        <w:t xml:space="preserve">      </w:t>
      </w:r>
      <w:proofErr w:type="gramStart"/>
      <w:r w:rsidR="00490DAA" w:rsidRPr="00332076">
        <w:t>deprivation</w:t>
      </w:r>
      <w:proofErr w:type="gramEnd"/>
      <w:r w:rsidR="00490DAA" w:rsidRPr="00332076">
        <w:t xml:space="preserve"> of “due process.”</w:t>
      </w:r>
    </w:p>
    <w:p w:rsidR="00490DAA" w:rsidRPr="00332076" w:rsidRDefault="00490DAA">
      <w:pPr>
        <w:pStyle w:val="BodyText2"/>
        <w:ind w:left="562" w:hanging="562"/>
      </w:pPr>
    </w:p>
    <w:p w:rsidR="00490DAA" w:rsidRPr="00332076" w:rsidRDefault="00C7779B">
      <w:pPr>
        <w:pStyle w:val="BodyText2"/>
        <w:ind w:left="562" w:hanging="562"/>
      </w:pPr>
      <w:r w:rsidRPr="00AD043A">
        <w:rPr>
          <w:sz w:val="22"/>
          <w:szCs w:val="22"/>
        </w:rPr>
        <w:sym w:font="Wingdings" w:char="F072"/>
      </w:r>
      <w:r w:rsidR="009364B5">
        <w:t xml:space="preserve">     </w:t>
      </w:r>
      <w:r w:rsidR="00490DAA" w:rsidRPr="00332076">
        <w:t>(21) </w:t>
      </w:r>
      <w:r w:rsidR="009364B5">
        <w:t xml:space="preserve"> </w:t>
      </w:r>
      <w:r w:rsidR="00490DAA" w:rsidRPr="009364B5">
        <w:rPr>
          <w:b/>
        </w:rPr>
        <w:t>Concern</w:t>
      </w:r>
      <w:r w:rsidR="00490DAA" w:rsidRPr="00332076">
        <w:t xml:space="preserve"> for confidentiality of professional standards proceedings.</w:t>
      </w:r>
    </w:p>
    <w:p w:rsidR="00490DAA" w:rsidRPr="00332076" w:rsidRDefault="00490DAA">
      <w:pPr>
        <w:pStyle w:val="BodyText2"/>
        <w:ind w:left="562" w:hanging="562"/>
      </w:pPr>
    </w:p>
    <w:p w:rsidR="009364B5" w:rsidRDefault="00C7779B">
      <w:pPr>
        <w:pStyle w:val="BodyText2"/>
        <w:ind w:left="562" w:hanging="562"/>
      </w:pPr>
      <w:r w:rsidRPr="00AD043A">
        <w:rPr>
          <w:sz w:val="22"/>
          <w:szCs w:val="22"/>
        </w:rPr>
        <w:sym w:font="Wingdings" w:char="F072"/>
      </w:r>
      <w:r w:rsidR="009364B5">
        <w:t xml:space="preserve">     </w:t>
      </w:r>
      <w:r w:rsidR="00490DAA" w:rsidRPr="00332076">
        <w:t>(22) </w:t>
      </w:r>
      <w:r w:rsidR="009364B5">
        <w:t xml:space="preserve"> </w:t>
      </w:r>
      <w:r w:rsidR="00490DAA" w:rsidRPr="009364B5">
        <w:rPr>
          <w:b/>
        </w:rPr>
        <w:t xml:space="preserve">Concern </w:t>
      </w:r>
      <w:r w:rsidR="00490DAA" w:rsidRPr="00332076">
        <w:t xml:space="preserve">for proper publication of decisions as specified in the </w:t>
      </w:r>
      <w:r w:rsidR="00490DAA" w:rsidRPr="00AF39DA">
        <w:rPr>
          <w:i/>
        </w:rPr>
        <w:t>Code of Ethics and Arbitration Manual</w:t>
      </w:r>
      <w:r w:rsidR="00490DAA" w:rsidRPr="00332076">
        <w:t>—</w:t>
      </w:r>
      <w:r w:rsidR="000E0B4F" w:rsidRPr="00332076">
        <w:tab/>
      </w:r>
      <w:r w:rsidR="009364B5">
        <w:t xml:space="preserve">  </w:t>
      </w:r>
    </w:p>
    <w:p w:rsidR="00490DAA" w:rsidRPr="00332076" w:rsidRDefault="009364B5">
      <w:pPr>
        <w:pStyle w:val="BodyText2"/>
        <w:ind w:left="562" w:hanging="562"/>
      </w:pPr>
      <w:r>
        <w:t xml:space="preserve">                 </w:t>
      </w:r>
      <w:r w:rsidR="007E78A9">
        <w:t xml:space="preserve"> </w:t>
      </w:r>
      <w:proofErr w:type="gramStart"/>
      <w:r w:rsidR="00490DAA" w:rsidRPr="00332076">
        <w:t>limited</w:t>
      </w:r>
      <w:proofErr w:type="gramEnd"/>
      <w:r w:rsidR="00490DAA" w:rsidRPr="00332076">
        <w:t xml:space="preserve"> dissemination of findings.</w:t>
      </w:r>
    </w:p>
    <w:p w:rsidR="00490DAA" w:rsidRPr="00332076" w:rsidRDefault="00490DAA">
      <w:pPr>
        <w:pStyle w:val="BodyText2"/>
        <w:ind w:left="562" w:hanging="562"/>
      </w:pPr>
    </w:p>
    <w:p w:rsidR="00490DAA" w:rsidRDefault="00C7779B">
      <w:pPr>
        <w:pStyle w:val="BodyText2"/>
        <w:ind w:left="562" w:hanging="562"/>
      </w:pPr>
      <w:r w:rsidRPr="00AD043A">
        <w:rPr>
          <w:sz w:val="22"/>
          <w:szCs w:val="22"/>
        </w:rPr>
        <w:sym w:font="Wingdings" w:char="F072"/>
      </w:r>
      <w:r w:rsidR="009364B5">
        <w:t xml:space="preserve">     </w:t>
      </w:r>
      <w:r w:rsidR="00490DAA" w:rsidRPr="00332076">
        <w:t>(23) </w:t>
      </w:r>
      <w:r w:rsidR="009364B5" w:rsidRPr="009364B5">
        <w:rPr>
          <w:b/>
        </w:rPr>
        <w:t xml:space="preserve"> </w:t>
      </w:r>
      <w:r w:rsidR="00490DAA" w:rsidRPr="009364B5">
        <w:rPr>
          <w:b/>
        </w:rPr>
        <w:t>Concern</w:t>
      </w:r>
      <w:r w:rsidR="00490DAA" w:rsidRPr="00332076">
        <w:t xml:space="preserve"> for matters that are currently being litigated.</w:t>
      </w:r>
    </w:p>
    <w:p w:rsidR="008E47C8" w:rsidRPr="00332076" w:rsidRDefault="008E47C8">
      <w:pPr>
        <w:pStyle w:val="BodyText2"/>
        <w:ind w:left="562" w:hanging="562"/>
      </w:pPr>
    </w:p>
    <w:p w:rsidR="0084419D" w:rsidRDefault="000E0B4F" w:rsidP="0084419D">
      <w:pPr>
        <w:pStyle w:val="BodyText2"/>
        <w:ind w:left="836" w:hanging="274"/>
      </w:pPr>
      <w:r w:rsidRPr="00332076">
        <w:tab/>
      </w:r>
      <w:r w:rsidR="00490DAA" w:rsidRPr="00332076">
        <w:t>(a)</w:t>
      </w:r>
      <w:r w:rsidR="00490DAA" w:rsidRPr="001D71CF">
        <w:rPr>
          <w:b/>
        </w:rPr>
        <w:t> </w:t>
      </w:r>
      <w:r w:rsidR="0084419D" w:rsidRPr="00332076">
        <w:t xml:space="preserve">On the advice of Board legal counsel, an ethics hearing may proceed </w:t>
      </w:r>
      <w:r w:rsidR="0084419D" w:rsidRPr="001D71CF">
        <w:rPr>
          <w:b/>
        </w:rPr>
        <w:t>or</w:t>
      </w:r>
      <w:r w:rsidR="0084419D" w:rsidRPr="00332076">
        <w:t xml:space="preserve"> may be held in abeyance if </w:t>
      </w:r>
      <w:r w:rsidR="0084419D">
        <w:t xml:space="preserve"> </w:t>
      </w:r>
    </w:p>
    <w:p w:rsidR="009364B5" w:rsidRPr="00332076" w:rsidRDefault="0084419D" w:rsidP="0084419D">
      <w:pPr>
        <w:pStyle w:val="BodyText2"/>
        <w:ind w:left="1114"/>
      </w:pPr>
      <w:proofErr w:type="gramStart"/>
      <w:r>
        <w:t>criminal</w:t>
      </w:r>
      <w:proofErr w:type="gramEnd"/>
      <w:r>
        <w:t xml:space="preserve"> or </w:t>
      </w:r>
      <w:r w:rsidRPr="00332076">
        <w:t>civil litigation or proceeding before state real estate licensing authority or other state or federal regulatory or administrative agency is pending on the same matter.</w:t>
      </w:r>
    </w:p>
    <w:p w:rsidR="009364B5" w:rsidRPr="00332076" w:rsidRDefault="000E0B4F" w:rsidP="0084419D">
      <w:pPr>
        <w:pStyle w:val="BodyText2"/>
        <w:spacing w:before="120"/>
        <w:ind w:left="836" w:hanging="274"/>
      </w:pPr>
      <w:r w:rsidRPr="00332076">
        <w:tab/>
      </w:r>
      <w:r w:rsidR="00490DAA" w:rsidRPr="00332076">
        <w:t>(b) </w:t>
      </w:r>
      <w:r w:rsidR="0084419D" w:rsidRPr="001D71CF">
        <w:rPr>
          <w:b/>
        </w:rPr>
        <w:t xml:space="preserve">Never </w:t>
      </w:r>
      <w:r w:rsidR="0084419D" w:rsidRPr="00332076">
        <w:t xml:space="preserve">hold an arbitration hearing when the </w:t>
      </w:r>
      <w:proofErr w:type="spellStart"/>
      <w:r w:rsidR="0084419D" w:rsidRPr="00332076">
        <w:t>arbitrable</w:t>
      </w:r>
      <w:proofErr w:type="spellEnd"/>
      <w:r w:rsidR="0084419D" w:rsidRPr="00332076">
        <w:t xml:space="preserve"> matter is the subject of litigation.</w:t>
      </w:r>
    </w:p>
    <w:p w:rsidR="00490DAA" w:rsidRPr="00332076" w:rsidRDefault="000E0B4F" w:rsidP="0084419D">
      <w:pPr>
        <w:pStyle w:val="BodyText2"/>
        <w:ind w:left="836" w:hanging="274"/>
      </w:pPr>
      <w:r w:rsidRPr="00332076">
        <w:tab/>
      </w:r>
    </w:p>
    <w:p w:rsidR="009364B5" w:rsidRDefault="00C7779B">
      <w:pPr>
        <w:pStyle w:val="BodyText2"/>
        <w:ind w:left="562" w:hanging="562"/>
      </w:pPr>
      <w:r w:rsidRPr="00AD043A">
        <w:rPr>
          <w:sz w:val="22"/>
          <w:szCs w:val="22"/>
        </w:rPr>
        <w:sym w:font="Wingdings" w:char="F072"/>
      </w:r>
      <w:r w:rsidR="009364B5" w:rsidRPr="00AD043A">
        <w:rPr>
          <w:sz w:val="22"/>
          <w:szCs w:val="22"/>
        </w:rPr>
        <w:t xml:space="preserve"> </w:t>
      </w:r>
      <w:r w:rsidR="009364B5">
        <w:t xml:space="preserve">   </w:t>
      </w:r>
      <w:r w:rsidR="00490DAA" w:rsidRPr="00332076">
        <w:t>(24) </w:t>
      </w:r>
      <w:r w:rsidR="009364B5">
        <w:t xml:space="preserve"> </w:t>
      </w:r>
      <w:r w:rsidR="00490DAA" w:rsidRPr="009364B5">
        <w:rPr>
          <w:b/>
        </w:rPr>
        <w:t>Concern</w:t>
      </w:r>
      <w:r w:rsidR="00490DAA" w:rsidRPr="00332076">
        <w:t xml:space="preserve"> for common sense—encourage resolution of disputes by mediation (reduces arbitration case </w:t>
      </w:r>
    </w:p>
    <w:p w:rsidR="00490DAA" w:rsidRPr="00332076" w:rsidRDefault="009364B5">
      <w:pPr>
        <w:pStyle w:val="BodyText2"/>
        <w:ind w:left="562" w:hanging="562"/>
      </w:pPr>
      <w:r>
        <w:t xml:space="preserve">                 </w:t>
      </w:r>
      <w:proofErr w:type="gramStart"/>
      <w:r w:rsidR="00490DAA" w:rsidRPr="00332076">
        <w:t>load</w:t>
      </w:r>
      <w:proofErr w:type="gramEnd"/>
      <w:r w:rsidR="00490DAA" w:rsidRPr="00332076">
        <w:t>).</w:t>
      </w:r>
    </w:p>
    <w:p w:rsidR="00490DAA" w:rsidRPr="00332076" w:rsidRDefault="00490DAA">
      <w:pPr>
        <w:pStyle w:val="BodyText2"/>
        <w:ind w:left="562" w:hanging="562"/>
      </w:pPr>
    </w:p>
    <w:p w:rsidR="009364B5" w:rsidRDefault="00C7779B">
      <w:pPr>
        <w:pStyle w:val="BodyText2"/>
        <w:ind w:left="562" w:hanging="562"/>
      </w:pPr>
      <w:r w:rsidRPr="00AD043A">
        <w:rPr>
          <w:sz w:val="22"/>
          <w:szCs w:val="22"/>
        </w:rPr>
        <w:sym w:font="Wingdings" w:char="F072"/>
      </w:r>
      <w:r w:rsidR="009364B5">
        <w:t xml:space="preserve">    </w:t>
      </w:r>
      <w:r w:rsidR="00490DAA" w:rsidRPr="00332076">
        <w:t>(25) </w:t>
      </w:r>
      <w:r w:rsidR="009364B5">
        <w:t xml:space="preserve"> </w:t>
      </w:r>
      <w:r w:rsidR="00490DAA" w:rsidRPr="009364B5">
        <w:rPr>
          <w:b/>
        </w:rPr>
        <w:t xml:space="preserve">Concern </w:t>
      </w:r>
      <w:r w:rsidR="00490DAA" w:rsidRPr="00332076">
        <w:t xml:space="preserve">for training—the National Association recommends that an Education Subcommittee of the </w:t>
      </w:r>
      <w:r w:rsidR="000E0B4F" w:rsidRPr="00332076">
        <w:tab/>
      </w:r>
    </w:p>
    <w:p w:rsidR="009364B5" w:rsidRDefault="009364B5">
      <w:pPr>
        <w:pStyle w:val="BodyText2"/>
        <w:ind w:left="562" w:hanging="562"/>
      </w:pPr>
      <w:r>
        <w:t xml:space="preserve">                 </w:t>
      </w:r>
      <w:r w:rsidR="00490DAA" w:rsidRPr="00332076">
        <w:t xml:space="preserve">Board’s Professional Standards Committee be appointed and charged with providing a continuing </w:t>
      </w:r>
      <w:r w:rsidR="000E0B4F" w:rsidRPr="00332076">
        <w:tab/>
      </w:r>
    </w:p>
    <w:p w:rsidR="00490DAA" w:rsidRPr="00332076" w:rsidRDefault="009364B5">
      <w:pPr>
        <w:pStyle w:val="BodyText2"/>
        <w:ind w:left="562" w:hanging="562"/>
      </w:pPr>
      <w:r>
        <w:t xml:space="preserve">                 </w:t>
      </w:r>
      <w:proofErr w:type="gramStart"/>
      <w:r w:rsidR="00490DAA" w:rsidRPr="00332076">
        <w:t>education</w:t>
      </w:r>
      <w:proofErr w:type="gramEnd"/>
      <w:r w:rsidR="00490DAA" w:rsidRPr="00332076">
        <w:t xml:space="preserve"> program for Board Members in Code of Ethics awareness, understanding, and procedures.</w:t>
      </w:r>
    </w:p>
    <w:p w:rsidR="00490DAA" w:rsidRPr="00332076" w:rsidRDefault="00490DAA">
      <w:pPr>
        <w:pStyle w:val="BodyText2"/>
        <w:ind w:left="562" w:hanging="562"/>
      </w:pPr>
    </w:p>
    <w:p w:rsidR="00490DAA" w:rsidRPr="00332076" w:rsidRDefault="00C7779B">
      <w:pPr>
        <w:pStyle w:val="BodyText2"/>
        <w:ind w:left="562" w:hanging="562"/>
      </w:pPr>
      <w:r w:rsidRPr="00AD043A">
        <w:rPr>
          <w:sz w:val="22"/>
          <w:szCs w:val="22"/>
        </w:rPr>
        <w:sym w:font="Wingdings" w:char="F072"/>
      </w:r>
      <w:r w:rsidR="002D48B4" w:rsidRPr="00AD043A">
        <w:rPr>
          <w:sz w:val="22"/>
          <w:szCs w:val="22"/>
        </w:rPr>
        <w:t xml:space="preserve"> </w:t>
      </w:r>
      <w:r w:rsidR="002D48B4">
        <w:t xml:space="preserve">   </w:t>
      </w:r>
      <w:r w:rsidR="00490DAA" w:rsidRPr="00332076">
        <w:t>(26) </w:t>
      </w:r>
      <w:r w:rsidR="002D48B4">
        <w:t xml:space="preserve"> </w:t>
      </w:r>
      <w:r w:rsidR="00490DAA" w:rsidRPr="002D48B4">
        <w:rPr>
          <w:b/>
        </w:rPr>
        <w:t xml:space="preserve">Concern </w:t>
      </w:r>
      <w:r w:rsidR="00490DAA" w:rsidRPr="00332076">
        <w:t>for Code enforcement training—State and Board.</w:t>
      </w:r>
    </w:p>
    <w:p w:rsidR="00490DAA" w:rsidRPr="00332076" w:rsidRDefault="00490DAA">
      <w:pPr>
        <w:pStyle w:val="BodyText2"/>
        <w:ind w:left="562" w:hanging="562"/>
      </w:pPr>
    </w:p>
    <w:p w:rsidR="00490DAA" w:rsidRPr="00332076" w:rsidRDefault="00C7779B">
      <w:pPr>
        <w:pStyle w:val="BodyText2"/>
        <w:ind w:left="562" w:hanging="562"/>
      </w:pPr>
      <w:r w:rsidRPr="00AD043A">
        <w:rPr>
          <w:sz w:val="22"/>
          <w:szCs w:val="22"/>
        </w:rPr>
        <w:sym w:font="Wingdings" w:char="F072"/>
      </w:r>
      <w:r w:rsidR="002D48B4" w:rsidRPr="00AD043A">
        <w:rPr>
          <w:sz w:val="22"/>
          <w:szCs w:val="22"/>
        </w:rPr>
        <w:t xml:space="preserve">  </w:t>
      </w:r>
      <w:r w:rsidR="002D48B4">
        <w:t xml:space="preserve">  </w:t>
      </w:r>
      <w:r w:rsidR="00490DAA" w:rsidRPr="00332076">
        <w:t>(27) </w:t>
      </w:r>
      <w:r w:rsidR="002D48B4" w:rsidRPr="002D48B4">
        <w:rPr>
          <w:b/>
        </w:rPr>
        <w:t xml:space="preserve"> </w:t>
      </w:r>
      <w:r w:rsidR="00490DAA" w:rsidRPr="002D48B4">
        <w:rPr>
          <w:b/>
        </w:rPr>
        <w:t>Concern</w:t>
      </w:r>
      <w:r w:rsidR="00490DAA" w:rsidRPr="00332076">
        <w:t xml:space="preserve"> for dealing promptly and fairly with complaints brought by the public.</w:t>
      </w:r>
    </w:p>
    <w:p w:rsidR="00490DAA" w:rsidRPr="00332076" w:rsidRDefault="00490DAA">
      <w:pPr>
        <w:pStyle w:val="BodyText2"/>
        <w:ind w:left="562" w:hanging="562"/>
      </w:pPr>
    </w:p>
    <w:p w:rsidR="00490DAA" w:rsidRPr="00332076" w:rsidRDefault="00C7779B">
      <w:pPr>
        <w:pStyle w:val="BodyText2"/>
        <w:ind w:left="562" w:hanging="562"/>
      </w:pPr>
      <w:r w:rsidRPr="00AD043A">
        <w:rPr>
          <w:sz w:val="22"/>
          <w:szCs w:val="22"/>
        </w:rPr>
        <w:sym w:font="Wingdings" w:char="F072"/>
      </w:r>
      <w:r w:rsidR="002D48B4" w:rsidRPr="00AD043A">
        <w:rPr>
          <w:sz w:val="22"/>
          <w:szCs w:val="22"/>
        </w:rPr>
        <w:t xml:space="preserve"> </w:t>
      </w:r>
      <w:r w:rsidR="002D48B4">
        <w:t xml:space="preserve">   </w:t>
      </w:r>
      <w:r w:rsidR="00490DAA" w:rsidRPr="00332076">
        <w:t>(28) </w:t>
      </w:r>
      <w:r w:rsidR="002D48B4">
        <w:t xml:space="preserve"> </w:t>
      </w:r>
      <w:r w:rsidR="00490DAA" w:rsidRPr="002D48B4">
        <w:rPr>
          <w:b/>
        </w:rPr>
        <w:t>Concern</w:t>
      </w:r>
      <w:r w:rsidR="00490DAA" w:rsidRPr="00332076">
        <w:t xml:space="preserve"> for liability of </w:t>
      </w:r>
      <w:r w:rsidR="00490DAA" w:rsidRPr="00332076">
        <w:rPr>
          <w:smallCaps/>
        </w:rPr>
        <w:t>Realtors</w:t>
      </w:r>
      <w:bookmarkStart w:id="0" w:name="_GoBack"/>
      <w:bookmarkEnd w:id="0"/>
      <w:r w:rsidR="00490DAA" w:rsidRPr="00332076">
        <w:rPr>
          <w:vertAlign w:val="superscript"/>
        </w:rPr>
        <w:t>®</w:t>
      </w:r>
      <w:r w:rsidR="00490DAA" w:rsidRPr="00332076">
        <w:t xml:space="preserve"> in dealing with the public.</w:t>
      </w:r>
    </w:p>
    <w:p w:rsidR="00490DAA" w:rsidRPr="00332076" w:rsidRDefault="00490DAA">
      <w:pPr>
        <w:pStyle w:val="BodyText2"/>
        <w:ind w:left="562" w:hanging="562"/>
      </w:pPr>
    </w:p>
    <w:p w:rsidR="002D48B4" w:rsidRDefault="00C7779B">
      <w:pPr>
        <w:pStyle w:val="BodyText2"/>
        <w:ind w:left="562" w:hanging="562"/>
      </w:pPr>
      <w:r w:rsidRPr="00AD043A">
        <w:rPr>
          <w:sz w:val="22"/>
          <w:szCs w:val="22"/>
        </w:rPr>
        <w:sym w:font="Wingdings" w:char="F072"/>
      </w:r>
      <w:r w:rsidR="002D48B4">
        <w:t xml:space="preserve">    </w:t>
      </w:r>
      <w:r w:rsidR="00490DAA" w:rsidRPr="00332076">
        <w:t>(29) </w:t>
      </w:r>
      <w:r w:rsidR="002D48B4">
        <w:t xml:space="preserve"> </w:t>
      </w:r>
      <w:r w:rsidR="00490DAA" w:rsidRPr="002D48B4">
        <w:rPr>
          <w:b/>
        </w:rPr>
        <w:t>Concern</w:t>
      </w:r>
      <w:r w:rsidR="00490DAA" w:rsidRPr="00332076">
        <w:t xml:space="preserve"> for changes in professional standards policies and procedures, in revisions of the Code, new or </w:t>
      </w:r>
      <w:r w:rsidR="000E0B4F" w:rsidRPr="00332076">
        <w:tab/>
      </w:r>
    </w:p>
    <w:p w:rsidR="002D48B4" w:rsidRDefault="002D48B4">
      <w:pPr>
        <w:pStyle w:val="BodyText2"/>
        <w:ind w:left="562" w:hanging="562"/>
      </w:pPr>
      <w:r>
        <w:t xml:space="preserve">                 </w:t>
      </w:r>
      <w:proofErr w:type="gramStart"/>
      <w:r w:rsidR="00490DAA" w:rsidRPr="00332076">
        <w:t>revised</w:t>
      </w:r>
      <w:proofErr w:type="gramEnd"/>
      <w:r w:rsidR="00490DAA" w:rsidRPr="00332076">
        <w:t xml:space="preserve"> interpretations of the Code, and revised editions of training aids and National Association </w:t>
      </w:r>
      <w:r w:rsidR="000E0B4F" w:rsidRPr="00332076">
        <w:tab/>
      </w:r>
    </w:p>
    <w:p w:rsidR="00490DAA" w:rsidRPr="00332076" w:rsidRDefault="002D48B4">
      <w:pPr>
        <w:pStyle w:val="BodyText2"/>
        <w:ind w:left="562" w:hanging="562"/>
      </w:pPr>
      <w:r>
        <w:t xml:space="preserve">  </w:t>
      </w:r>
      <w:r>
        <w:tab/>
      </w:r>
      <w:r>
        <w:tab/>
        <w:t xml:space="preserve">  </w:t>
      </w:r>
      <w:r w:rsidR="007E78A9">
        <w:t xml:space="preserve"> </w:t>
      </w:r>
      <w:r w:rsidR="00490DAA" w:rsidRPr="00332076">
        <w:t>publications related to the Code and its enforcement.</w:t>
      </w:r>
    </w:p>
    <w:p w:rsidR="00490DAA" w:rsidRPr="00332076" w:rsidRDefault="00490DAA">
      <w:pPr>
        <w:rPr>
          <w:rFonts w:ascii="Times" w:hAnsi="Times"/>
          <w:sz w:val="20"/>
        </w:rPr>
      </w:pPr>
    </w:p>
    <w:sectPr w:rsidR="00490DAA" w:rsidRPr="00332076" w:rsidSect="00C17D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F83" w:rsidRDefault="00375F83" w:rsidP="00A1622E">
      <w:r>
        <w:separator/>
      </w:r>
    </w:p>
  </w:endnote>
  <w:endnote w:type="continuationSeparator" w:id="0">
    <w:p w:rsidR="00375F83" w:rsidRDefault="00375F83" w:rsidP="00A1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5D" w:rsidRDefault="008C1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111" w:rsidRPr="007B2324" w:rsidRDefault="00BB2111">
    <w:pPr>
      <w:pStyle w:val="Footer"/>
      <w:rPr>
        <w:rFonts w:ascii="Times" w:hAnsi="Times"/>
        <w:i/>
        <w:sz w:val="18"/>
        <w:szCs w:val="18"/>
      </w:rPr>
    </w:pPr>
    <w:r w:rsidRPr="007B2324">
      <w:rPr>
        <w:rFonts w:ascii="Times" w:hAnsi="Times"/>
        <w:i/>
        <w:sz w:val="18"/>
        <w:szCs w:val="18"/>
      </w:rPr>
      <w:t>Code of Ethics and Arbitration Manual</w:t>
    </w:r>
    <w:r w:rsidRPr="007B2324">
      <w:rPr>
        <w:rFonts w:ascii="Times" w:hAnsi="Times"/>
        <w:i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111" w:rsidRPr="00BB2111" w:rsidRDefault="00BB2111">
    <w:pPr>
      <w:pStyle w:val="Footer"/>
      <w:rPr>
        <w:i/>
        <w:sz w:val="20"/>
      </w:rPr>
    </w:pPr>
    <w:r w:rsidRPr="00BB2111">
      <w:rPr>
        <w:i/>
        <w:sz w:val="20"/>
      </w:rPr>
      <w:t>Code of Ethics and Arbitration Manual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F83" w:rsidRDefault="00375F83" w:rsidP="00A1622E">
      <w:r>
        <w:separator/>
      </w:r>
    </w:p>
  </w:footnote>
  <w:footnote w:type="continuationSeparator" w:id="0">
    <w:p w:rsidR="00375F83" w:rsidRDefault="00375F83" w:rsidP="00A16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5D" w:rsidRDefault="008C11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5D" w:rsidRDefault="008C11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5D" w:rsidRDefault="008C1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CBA9F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71F79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10194C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C21867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285739A"/>
    <w:multiLevelType w:val="singleLevel"/>
    <w:tmpl w:val="B3BCE6C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2BA874CD"/>
    <w:multiLevelType w:val="singleLevel"/>
    <w:tmpl w:val="B3BCE6C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31C333FF"/>
    <w:multiLevelType w:val="singleLevel"/>
    <w:tmpl w:val="B3BCE6C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3B7D7D80"/>
    <w:multiLevelType w:val="hybridMultilevel"/>
    <w:tmpl w:val="8286F0EA"/>
    <w:lvl w:ilvl="0" w:tplc="49161F34">
      <w:start w:val="1"/>
      <w:numFmt w:val="lowerLetter"/>
      <w:lvlText w:val="(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416A5216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48DA06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1E2B28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53800EF7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54324A01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566D4FF0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58F21741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5D195847"/>
    <w:multiLevelType w:val="hybridMultilevel"/>
    <w:tmpl w:val="EA1E0F4E"/>
    <w:lvl w:ilvl="0" w:tplc="63C610B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DCE62F3"/>
    <w:multiLevelType w:val="singleLevel"/>
    <w:tmpl w:val="B3BCE6C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7" w15:restartNumberingAfterBreak="0">
    <w:nsid w:val="60FD17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1870F5"/>
    <w:multiLevelType w:val="singleLevel"/>
    <w:tmpl w:val="7F94EDA4"/>
    <w:lvl w:ilvl="0">
      <w:start w:val="1"/>
      <w:numFmt w:val="bullet"/>
      <w:pStyle w:val="HeadingB2"/>
      <w:lvlText w:val="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CE278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5166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10"/>
  </w:num>
  <w:num w:numId="5">
    <w:abstractNumId w:val="14"/>
  </w:num>
  <w:num w:numId="6">
    <w:abstractNumId w:val="8"/>
  </w:num>
  <w:num w:numId="7">
    <w:abstractNumId w:val="13"/>
  </w:num>
  <w:num w:numId="8">
    <w:abstractNumId w:val="20"/>
  </w:num>
  <w:num w:numId="9">
    <w:abstractNumId w:val="19"/>
  </w:num>
  <w:num w:numId="10">
    <w:abstractNumId w:val="9"/>
  </w:num>
  <w:num w:numId="11">
    <w:abstractNumId w:val="12"/>
  </w:num>
  <w:num w:numId="12">
    <w:abstractNumId w:val="11"/>
  </w:num>
  <w:num w:numId="13">
    <w:abstractNumId w:val="3"/>
  </w:num>
  <w:num w:numId="14">
    <w:abstractNumId w:val="16"/>
  </w:num>
  <w:num w:numId="15">
    <w:abstractNumId w:val="4"/>
  </w:num>
  <w:num w:numId="16">
    <w:abstractNumId w:val="5"/>
  </w:num>
  <w:num w:numId="17">
    <w:abstractNumId w:val="6"/>
  </w:num>
  <w:num w:numId="18">
    <w:abstractNumId w:val="2"/>
  </w:num>
  <w:num w:numId="19">
    <w:abstractNumId w:val="17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3MDMxMzQxA9Km5ko6SsGpxcWZ+XkgBYa1AHf60HssAAAA"/>
  </w:docVars>
  <w:rsids>
    <w:rsidRoot w:val="001463A7"/>
    <w:rsid w:val="000C02C4"/>
    <w:rsid w:val="000E0B4F"/>
    <w:rsid w:val="001463A7"/>
    <w:rsid w:val="001D71CF"/>
    <w:rsid w:val="002105E1"/>
    <w:rsid w:val="002752D5"/>
    <w:rsid w:val="002D48B4"/>
    <w:rsid w:val="00332076"/>
    <w:rsid w:val="00375F83"/>
    <w:rsid w:val="00490DAA"/>
    <w:rsid w:val="005903A5"/>
    <w:rsid w:val="005B59B9"/>
    <w:rsid w:val="007978BD"/>
    <w:rsid w:val="007B2324"/>
    <w:rsid w:val="007E78A9"/>
    <w:rsid w:val="0084419D"/>
    <w:rsid w:val="00855202"/>
    <w:rsid w:val="008C115D"/>
    <w:rsid w:val="008E47C8"/>
    <w:rsid w:val="009364B5"/>
    <w:rsid w:val="00A1622E"/>
    <w:rsid w:val="00AD043A"/>
    <w:rsid w:val="00AF39DA"/>
    <w:rsid w:val="00B524E4"/>
    <w:rsid w:val="00BB2111"/>
    <w:rsid w:val="00BB6D04"/>
    <w:rsid w:val="00C17D1A"/>
    <w:rsid w:val="00C7779B"/>
    <w:rsid w:val="00E316E4"/>
    <w:rsid w:val="00E534EE"/>
    <w:rsid w:val="00E7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C5C48B"/>
  <w15:docId w15:val="{812D92A3-2DC6-4FC8-A400-7585EFCC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cture">
    <w:name w:val="Picture"/>
    <w:basedOn w:val="Normal"/>
    <w:autoRedefine/>
    <w:pPr>
      <w:spacing w:before="60"/>
    </w:pPr>
    <w:rPr>
      <w:i/>
      <w:sz w:val="20"/>
    </w:rPr>
  </w:style>
  <w:style w:type="paragraph" w:customStyle="1" w:styleId="HeadingB1">
    <w:name w:val="HeadingB1"/>
    <w:basedOn w:val="Header"/>
    <w:next w:val="Normal"/>
    <w:pPr>
      <w:spacing w:before="60" w:after="360"/>
    </w:pPr>
    <w:rPr>
      <w:rFonts w:ascii="Copperplate Gothic Light" w:hAnsi="Copperplate Gothic Light"/>
      <w:b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HeadingB2">
    <w:name w:val="HeadingB2"/>
    <w:basedOn w:val="ListBullet"/>
    <w:next w:val="Normal"/>
    <w:autoRedefine/>
    <w:pPr>
      <w:numPr>
        <w:numId w:val="2"/>
      </w:numPr>
      <w:spacing w:before="60" w:after="60"/>
    </w:pPr>
    <w:rPr>
      <w:rFonts w:ascii="Franklin Gothic Book" w:hAnsi="Franklin Gothic Book"/>
      <w:b/>
      <w:sz w:val="28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customStyle="1" w:styleId="HeadingB3">
    <w:name w:val="HeadingB3"/>
    <w:basedOn w:val="Normal"/>
    <w:next w:val="Normal"/>
    <w:autoRedefine/>
    <w:pPr>
      <w:spacing w:before="120" w:after="120"/>
    </w:pPr>
    <w:rPr>
      <w:rFonts w:ascii="Helvetica" w:hAnsi="Helvetica"/>
      <w:b/>
    </w:rPr>
  </w:style>
  <w:style w:type="paragraph" w:customStyle="1" w:styleId="HeadingB4">
    <w:name w:val="HeadingB4"/>
    <w:next w:val="Normal"/>
    <w:autoRedefine/>
    <w:pPr>
      <w:spacing w:before="120" w:after="120"/>
    </w:pPr>
    <w:rPr>
      <w:rFonts w:ascii="Helvetica" w:hAnsi="Helvetica"/>
      <w:b/>
      <w:i/>
      <w:sz w:val="24"/>
    </w:rPr>
  </w:style>
  <w:style w:type="paragraph" w:customStyle="1" w:styleId="BodySingle">
    <w:name w:val="Body Single"/>
    <w:basedOn w:val="Normal"/>
  </w:style>
  <w:style w:type="paragraph" w:customStyle="1" w:styleId="DefaultText">
    <w:name w:val="Default Text"/>
    <w:basedOn w:val="Normal"/>
  </w:style>
  <w:style w:type="paragraph" w:customStyle="1" w:styleId="KeyText">
    <w:name w:val="Key/Text"/>
    <w:basedOn w:val="Normal"/>
    <w:pPr>
      <w:keepLines/>
      <w:pageBreakBefore/>
      <w:spacing w:before="144" w:line="244" w:lineRule="exact"/>
    </w:pPr>
  </w:style>
  <w:style w:type="paragraph" w:customStyle="1" w:styleId="Bullet1">
    <w:name w:val="Bullet 1"/>
    <w:basedOn w:val="Normal"/>
  </w:style>
  <w:style w:type="paragraph" w:styleId="BodyText">
    <w:name w:val="Body Text"/>
    <w:basedOn w:val="Normal"/>
  </w:style>
  <w:style w:type="paragraph" w:customStyle="1" w:styleId="FirstLineIndent">
    <w:name w:val="First Line Indent"/>
    <w:basedOn w:val="Normal"/>
    <w:pPr>
      <w:ind w:firstLine="720"/>
    </w:pPr>
  </w:style>
  <w:style w:type="paragraph" w:styleId="BlockText">
    <w:name w:val="Block Text"/>
    <w:basedOn w:val="Normal"/>
    <w:pPr>
      <w:ind w:left="432" w:right="432"/>
    </w:pPr>
  </w:style>
  <w:style w:type="paragraph" w:styleId="BodyTextIndent">
    <w:name w:val="Body Text Indent"/>
    <w:basedOn w:val="Normal"/>
    <w:pPr>
      <w:ind w:left="720"/>
    </w:pPr>
    <w:rPr>
      <w:u w:val="single"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1440"/>
    </w:pPr>
    <w:rPr>
      <w:i/>
      <w:iCs/>
    </w:rPr>
  </w:style>
  <w:style w:type="paragraph" w:styleId="BodyText2">
    <w:name w:val="Body Text 2"/>
    <w:basedOn w:val="Normal"/>
    <w:pPr>
      <w:jc w:val="both"/>
    </w:pPr>
    <w:rPr>
      <w:rFonts w:ascii="Times" w:eastAsia="Times" w:hAnsi="Times"/>
      <w:sz w:val="20"/>
    </w:rPr>
  </w:style>
  <w:style w:type="paragraph" w:styleId="Footer">
    <w:name w:val="footer"/>
    <w:basedOn w:val="Normal"/>
    <w:link w:val="FooterChar"/>
    <w:uiPriority w:val="99"/>
    <w:unhideWhenUsed/>
    <w:rsid w:val="00A16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22E"/>
    <w:rPr>
      <w:sz w:val="24"/>
    </w:rPr>
  </w:style>
  <w:style w:type="paragraph" w:styleId="ListParagraph">
    <w:name w:val="List Paragraph"/>
    <w:basedOn w:val="Normal"/>
    <w:uiPriority w:val="34"/>
    <w:qFormat/>
    <w:rsid w:val="00A16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#E-15</vt:lpstr>
    </vt:vector>
  </TitlesOfParts>
  <Company>N.A.R.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#E-15</dc:title>
  <dc:creator>Ericka Stawiarski</dc:creator>
  <cp:lastModifiedBy>Bernice Barajas</cp:lastModifiedBy>
  <cp:revision>16</cp:revision>
  <cp:lastPrinted>2007-06-21T21:39:00Z</cp:lastPrinted>
  <dcterms:created xsi:type="dcterms:W3CDTF">2016-03-30T18:45:00Z</dcterms:created>
  <dcterms:modified xsi:type="dcterms:W3CDTF">2020-01-29T15:49:00Z</dcterms:modified>
</cp:coreProperties>
</file>